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E0987BA" w14:textId="77777777" w:rsidR="00F64D59" w:rsidRPr="003A1BAF" w:rsidRDefault="00F64D59" w:rsidP="00CF2962">
      <w:pPr>
        <w:pStyle w:val="NoSpacing"/>
        <w:jc w:val="center"/>
        <w:rPr>
          <w:rFonts w:ascii="Times New Roman" w:hAnsi="Times New Roman" w:cs="Times New Roman"/>
          <w:b/>
          <w:sz w:val="24"/>
          <w:szCs w:val="24"/>
        </w:rPr>
      </w:pPr>
      <w:bookmarkStart w:id="0" w:name="_GoBack"/>
      <w:bookmarkEnd w:id="0"/>
      <w:r w:rsidRPr="003A1BAF">
        <w:rPr>
          <w:rFonts w:ascii="Times New Roman" w:hAnsi="Times New Roman" w:cs="Times New Roman"/>
          <w:b/>
          <w:sz w:val="24"/>
          <w:szCs w:val="24"/>
        </w:rPr>
        <w:t>UNITED STATES DISTRICT COURT</w:t>
      </w:r>
    </w:p>
    <w:p w14:paraId="1EA89ECC" w14:textId="77777777" w:rsidR="00F64D59" w:rsidRPr="003A1BAF" w:rsidRDefault="00F64D59" w:rsidP="00CF2962">
      <w:pPr>
        <w:pStyle w:val="NoSpacing"/>
        <w:jc w:val="center"/>
        <w:rPr>
          <w:rFonts w:ascii="Times New Roman" w:hAnsi="Times New Roman" w:cs="Times New Roman"/>
          <w:b/>
          <w:sz w:val="24"/>
          <w:szCs w:val="24"/>
        </w:rPr>
      </w:pPr>
      <w:r w:rsidRPr="003A1BAF">
        <w:rPr>
          <w:rFonts w:ascii="Times New Roman" w:hAnsi="Times New Roman" w:cs="Times New Roman"/>
          <w:b/>
          <w:sz w:val="24"/>
          <w:szCs w:val="24"/>
        </w:rPr>
        <w:t>DISTRICT OF MOOT</w:t>
      </w:r>
    </w:p>
    <w:p w14:paraId="45E0C2BD" w14:textId="77777777" w:rsidR="00F64D59" w:rsidRPr="003A1BAF" w:rsidRDefault="00F64D59" w:rsidP="00CF2962">
      <w:pPr>
        <w:pBdr>
          <w:bottom w:val="single" w:sz="4" w:space="1" w:color="auto"/>
        </w:pBdr>
        <w:jc w:val="center"/>
        <w:rPr>
          <w:rFonts w:ascii="Times New Roman" w:hAnsi="Times New Roman" w:cs="Times New Roman"/>
          <w:b/>
          <w:sz w:val="24"/>
          <w:szCs w:val="24"/>
        </w:rPr>
      </w:pPr>
    </w:p>
    <w:tbl>
      <w:tblPr>
        <w:tblW w:w="0" w:type="auto"/>
        <w:tblLayout w:type="fixed"/>
        <w:tblLook w:val="0000" w:firstRow="0" w:lastRow="0" w:firstColumn="0" w:lastColumn="0" w:noHBand="0" w:noVBand="0"/>
      </w:tblPr>
      <w:tblGrid>
        <w:gridCol w:w="4428"/>
        <w:gridCol w:w="4428"/>
      </w:tblGrid>
      <w:tr w:rsidR="00F64D59" w:rsidRPr="003A1BAF" w14:paraId="5FADB32D" w14:textId="77777777" w:rsidTr="00AE7066">
        <w:tc>
          <w:tcPr>
            <w:tcW w:w="4428" w:type="dxa"/>
          </w:tcPr>
          <w:p w14:paraId="5A9BA333" w14:textId="77777777" w:rsidR="00F64D59" w:rsidRPr="003A1BAF" w:rsidRDefault="00F64D59" w:rsidP="00CF2962">
            <w:pPr>
              <w:pStyle w:val="Footer"/>
              <w:widowControl w:val="0"/>
              <w:jc w:val="center"/>
              <w:rPr>
                <w:rFonts w:ascii="Times New Roman" w:hAnsi="Times New Roman" w:cs="Times New Roman"/>
                <w:snapToGrid w:val="0"/>
                <w:sz w:val="24"/>
                <w:szCs w:val="24"/>
              </w:rPr>
            </w:pPr>
            <w:r w:rsidRPr="003A1BAF">
              <w:rPr>
                <w:rFonts w:ascii="Times New Roman" w:hAnsi="Times New Roman" w:cs="Times New Roman"/>
                <w:snapToGrid w:val="0"/>
                <w:sz w:val="24"/>
                <w:szCs w:val="24"/>
              </w:rPr>
              <w:t>OGS TV,</w:t>
            </w:r>
          </w:p>
          <w:p w14:paraId="1FD0D3DD" w14:textId="77777777" w:rsidR="00F64D59" w:rsidRPr="003A1BAF" w:rsidRDefault="00F64D59" w:rsidP="00CF2962">
            <w:pPr>
              <w:pStyle w:val="Footer"/>
              <w:widowControl w:val="0"/>
              <w:jc w:val="center"/>
              <w:rPr>
                <w:rFonts w:ascii="Times New Roman" w:hAnsi="Times New Roman" w:cs="Times New Roman"/>
                <w:snapToGrid w:val="0"/>
                <w:sz w:val="24"/>
                <w:szCs w:val="24"/>
              </w:rPr>
            </w:pPr>
            <w:r w:rsidRPr="003A1BAF">
              <w:rPr>
                <w:rFonts w:ascii="Times New Roman" w:hAnsi="Times New Roman" w:cs="Times New Roman"/>
                <w:snapToGrid w:val="0"/>
                <w:sz w:val="24"/>
                <w:szCs w:val="24"/>
              </w:rPr>
              <w:t>Plaintiff</w:t>
            </w:r>
          </w:p>
        </w:tc>
        <w:tc>
          <w:tcPr>
            <w:tcW w:w="4428" w:type="dxa"/>
          </w:tcPr>
          <w:p w14:paraId="295C9430" w14:textId="77777777" w:rsidR="00F64D59" w:rsidRPr="003A1BAF" w:rsidRDefault="00F64D59" w:rsidP="00CF2962">
            <w:pPr>
              <w:pStyle w:val="Footer"/>
              <w:widowControl w:val="0"/>
              <w:jc w:val="center"/>
              <w:rPr>
                <w:rFonts w:ascii="Times New Roman" w:hAnsi="Times New Roman" w:cs="Times New Roman"/>
                <w:snapToGrid w:val="0"/>
                <w:sz w:val="24"/>
                <w:szCs w:val="24"/>
              </w:rPr>
            </w:pPr>
            <w:r w:rsidRPr="003A1BAF">
              <w:rPr>
                <w:rFonts w:ascii="Times New Roman" w:hAnsi="Times New Roman" w:cs="Times New Roman"/>
                <w:snapToGrid w:val="0"/>
                <w:sz w:val="24"/>
                <w:szCs w:val="24"/>
              </w:rPr>
              <w:t>Civ. No. 27-CV-12-1234</w:t>
            </w:r>
          </w:p>
        </w:tc>
      </w:tr>
      <w:tr w:rsidR="00CF2962" w:rsidRPr="003A1BAF" w14:paraId="34B37C42" w14:textId="77777777" w:rsidTr="00AE7066">
        <w:tc>
          <w:tcPr>
            <w:tcW w:w="4428" w:type="dxa"/>
          </w:tcPr>
          <w:p w14:paraId="25BFB8F7" w14:textId="77777777" w:rsidR="00CF2962" w:rsidRPr="003A1BAF" w:rsidRDefault="00CF2962" w:rsidP="00CF2962">
            <w:pPr>
              <w:pStyle w:val="Footer"/>
              <w:widowControl w:val="0"/>
              <w:jc w:val="center"/>
              <w:rPr>
                <w:rFonts w:ascii="Times New Roman" w:hAnsi="Times New Roman" w:cs="Times New Roman"/>
                <w:snapToGrid w:val="0"/>
                <w:sz w:val="24"/>
                <w:szCs w:val="24"/>
              </w:rPr>
            </w:pPr>
          </w:p>
          <w:p w14:paraId="4727999F" w14:textId="77777777" w:rsidR="00CF2962" w:rsidRPr="003A1BAF" w:rsidRDefault="00CF2962" w:rsidP="00CF2962">
            <w:pPr>
              <w:pStyle w:val="Footer"/>
              <w:widowControl w:val="0"/>
              <w:jc w:val="center"/>
              <w:rPr>
                <w:rFonts w:ascii="Times New Roman" w:hAnsi="Times New Roman" w:cs="Times New Roman"/>
                <w:snapToGrid w:val="0"/>
                <w:sz w:val="24"/>
                <w:szCs w:val="24"/>
              </w:rPr>
            </w:pPr>
            <w:r w:rsidRPr="003A1BAF">
              <w:rPr>
                <w:rFonts w:ascii="Times New Roman" w:hAnsi="Times New Roman" w:cs="Times New Roman"/>
                <w:snapToGrid w:val="0"/>
                <w:sz w:val="24"/>
                <w:szCs w:val="24"/>
              </w:rPr>
              <w:t>v.</w:t>
            </w:r>
          </w:p>
        </w:tc>
        <w:tc>
          <w:tcPr>
            <w:tcW w:w="4428" w:type="dxa"/>
            <w:vMerge w:val="restart"/>
          </w:tcPr>
          <w:p w14:paraId="553D43F3" w14:textId="77777777" w:rsidR="00CF2962" w:rsidRPr="003A1BAF" w:rsidRDefault="00CF2962" w:rsidP="00CF2962">
            <w:pPr>
              <w:pStyle w:val="Footer"/>
              <w:widowControl w:val="0"/>
              <w:jc w:val="center"/>
              <w:rPr>
                <w:rFonts w:ascii="Times New Roman" w:hAnsi="Times New Roman" w:cs="Times New Roman"/>
                <w:snapToGrid w:val="0"/>
                <w:sz w:val="24"/>
                <w:szCs w:val="24"/>
              </w:rPr>
            </w:pPr>
            <w:r w:rsidRPr="003A1BAF">
              <w:rPr>
                <w:rFonts w:ascii="Times New Roman" w:hAnsi="Times New Roman" w:cs="Times New Roman"/>
                <w:snapToGrid w:val="0"/>
                <w:sz w:val="24"/>
                <w:szCs w:val="24"/>
              </w:rPr>
              <w:t>PLAINTIFF’S MEMORANDUM</w:t>
            </w:r>
          </w:p>
          <w:p w14:paraId="2A649D4A" w14:textId="77777777" w:rsidR="00CF2962" w:rsidRPr="003A1BAF" w:rsidRDefault="00CF2962" w:rsidP="00CF2962">
            <w:pPr>
              <w:jc w:val="center"/>
              <w:rPr>
                <w:rFonts w:ascii="Times New Roman" w:hAnsi="Times New Roman" w:cs="Times New Roman"/>
                <w:sz w:val="24"/>
                <w:szCs w:val="24"/>
              </w:rPr>
            </w:pPr>
            <w:r>
              <w:rPr>
                <w:rFonts w:ascii="Times New Roman" w:hAnsi="Times New Roman" w:cs="Times New Roman"/>
                <w:sz w:val="24"/>
                <w:szCs w:val="24"/>
              </w:rPr>
              <w:t>IN OPPOSITION TO DEFENDANTS’ MOTION FOR SUMMARY JUDGMENT</w:t>
            </w:r>
          </w:p>
          <w:p w14:paraId="70F2FBD1" w14:textId="77777777" w:rsidR="00CF2962" w:rsidRPr="003A1BAF" w:rsidRDefault="00CF2962" w:rsidP="00CF2962">
            <w:pPr>
              <w:jc w:val="center"/>
              <w:rPr>
                <w:rFonts w:ascii="Times New Roman" w:hAnsi="Times New Roman" w:cs="Times New Roman"/>
                <w:sz w:val="24"/>
                <w:szCs w:val="24"/>
              </w:rPr>
            </w:pPr>
          </w:p>
        </w:tc>
      </w:tr>
      <w:tr w:rsidR="00CF2962" w:rsidRPr="003A1BAF" w14:paraId="4B176E60" w14:textId="77777777" w:rsidTr="00AE7066">
        <w:tc>
          <w:tcPr>
            <w:tcW w:w="4428" w:type="dxa"/>
          </w:tcPr>
          <w:p w14:paraId="64B2C937" w14:textId="77777777" w:rsidR="00CF2962" w:rsidRPr="003A1BAF" w:rsidRDefault="00CF2962" w:rsidP="00CF2962">
            <w:pPr>
              <w:pStyle w:val="Footer"/>
              <w:widowControl w:val="0"/>
              <w:jc w:val="center"/>
              <w:rPr>
                <w:rFonts w:ascii="Times New Roman" w:hAnsi="Times New Roman" w:cs="Times New Roman"/>
                <w:snapToGrid w:val="0"/>
                <w:sz w:val="24"/>
                <w:szCs w:val="24"/>
              </w:rPr>
            </w:pPr>
          </w:p>
          <w:p w14:paraId="39DE29A2" w14:textId="77777777" w:rsidR="00CF2962" w:rsidRPr="003A1BAF" w:rsidRDefault="00CF2962" w:rsidP="00CF2962">
            <w:pPr>
              <w:pStyle w:val="Footer"/>
              <w:widowControl w:val="0"/>
              <w:tabs>
                <w:tab w:val="center" w:pos="2106"/>
              </w:tabs>
              <w:jc w:val="center"/>
              <w:rPr>
                <w:rFonts w:ascii="Times New Roman" w:hAnsi="Times New Roman" w:cs="Times New Roman"/>
                <w:snapToGrid w:val="0"/>
                <w:sz w:val="24"/>
                <w:szCs w:val="24"/>
              </w:rPr>
            </w:pPr>
            <w:r w:rsidRPr="003A1BAF">
              <w:rPr>
                <w:rFonts w:ascii="Times New Roman" w:hAnsi="Times New Roman" w:cs="Times New Roman"/>
                <w:snapToGrid w:val="0"/>
                <w:sz w:val="24"/>
                <w:szCs w:val="24"/>
              </w:rPr>
              <w:t>Elizabeth Lime and Tiny TV,</w:t>
            </w:r>
          </w:p>
          <w:p w14:paraId="1AEFFFD9" w14:textId="77777777" w:rsidR="00CF2962" w:rsidRPr="003A1BAF" w:rsidRDefault="00CF2962" w:rsidP="00CF2962">
            <w:pPr>
              <w:pStyle w:val="Footer"/>
              <w:widowControl w:val="0"/>
              <w:jc w:val="center"/>
              <w:rPr>
                <w:rFonts w:ascii="Times New Roman" w:hAnsi="Times New Roman" w:cs="Times New Roman"/>
                <w:snapToGrid w:val="0"/>
                <w:sz w:val="24"/>
                <w:szCs w:val="24"/>
              </w:rPr>
            </w:pPr>
            <w:r w:rsidRPr="003A1BAF">
              <w:rPr>
                <w:rFonts w:ascii="Times New Roman" w:hAnsi="Times New Roman" w:cs="Times New Roman"/>
                <w:snapToGrid w:val="0"/>
                <w:sz w:val="24"/>
                <w:szCs w:val="24"/>
              </w:rPr>
              <w:t>Defendants.</w:t>
            </w:r>
          </w:p>
        </w:tc>
        <w:tc>
          <w:tcPr>
            <w:tcW w:w="4428" w:type="dxa"/>
            <w:vMerge/>
          </w:tcPr>
          <w:p w14:paraId="0436F310" w14:textId="77777777" w:rsidR="00CF2962" w:rsidRPr="003A1BAF" w:rsidRDefault="00CF2962" w:rsidP="00CF2962">
            <w:pPr>
              <w:jc w:val="center"/>
              <w:rPr>
                <w:rFonts w:ascii="Times New Roman" w:hAnsi="Times New Roman" w:cs="Times New Roman"/>
                <w:sz w:val="24"/>
                <w:szCs w:val="24"/>
              </w:rPr>
            </w:pPr>
          </w:p>
        </w:tc>
      </w:tr>
    </w:tbl>
    <w:p w14:paraId="5CF2303D" w14:textId="77777777" w:rsidR="00581E70" w:rsidRPr="003A1BAF" w:rsidRDefault="00581E70" w:rsidP="00CF2962">
      <w:pPr>
        <w:pStyle w:val="Heading2"/>
        <w:pBdr>
          <w:bottom w:val="single" w:sz="4" w:space="1" w:color="auto"/>
        </w:pBdr>
        <w:jc w:val="left"/>
        <w:rPr>
          <w:szCs w:val="24"/>
        </w:rPr>
      </w:pPr>
    </w:p>
    <w:p w14:paraId="52318C6B" w14:textId="77777777" w:rsidR="00CF2962" w:rsidRDefault="00CF2962" w:rsidP="00CF2962">
      <w:pPr>
        <w:pStyle w:val="NoSpacing"/>
      </w:pPr>
    </w:p>
    <w:p w14:paraId="51E4D32A" w14:textId="77777777" w:rsidR="00CF2962" w:rsidRDefault="004A4776" w:rsidP="00CF2962">
      <w:pPr>
        <w:spacing w:line="480" w:lineRule="auto"/>
        <w:jc w:val="center"/>
        <w:rPr>
          <w:rFonts w:ascii="Times New Roman" w:hAnsi="Times New Roman" w:cs="Times New Roman"/>
          <w:b/>
          <w:sz w:val="24"/>
          <w:szCs w:val="24"/>
        </w:rPr>
      </w:pPr>
      <w:r w:rsidRPr="003A1BAF">
        <w:rPr>
          <w:rFonts w:ascii="Times New Roman" w:hAnsi="Times New Roman" w:cs="Times New Roman"/>
          <w:b/>
          <w:sz w:val="24"/>
          <w:szCs w:val="24"/>
        </w:rPr>
        <w:t>I. INTRODUCTION</w:t>
      </w:r>
    </w:p>
    <w:p w14:paraId="5285DA7B" w14:textId="77777777" w:rsidR="00CF2962" w:rsidRDefault="001902A6" w:rsidP="00CF2962">
      <w:pPr>
        <w:spacing w:line="480" w:lineRule="auto"/>
        <w:ind w:firstLine="720"/>
        <w:rPr>
          <w:rFonts w:ascii="Times New Roman" w:hAnsi="Times New Roman" w:cs="Times New Roman"/>
          <w:sz w:val="24"/>
          <w:szCs w:val="24"/>
        </w:rPr>
      </w:pPr>
      <w:r w:rsidRPr="003A1BAF">
        <w:rPr>
          <w:rFonts w:ascii="Times New Roman" w:hAnsi="Times New Roman" w:cs="Times New Roman"/>
          <w:sz w:val="24"/>
          <w:szCs w:val="24"/>
        </w:rPr>
        <w:t>In thi</w:t>
      </w:r>
      <w:r w:rsidR="00CF2962">
        <w:rPr>
          <w:rFonts w:ascii="Times New Roman" w:hAnsi="Times New Roman" w:cs="Times New Roman"/>
          <w:sz w:val="24"/>
          <w:szCs w:val="24"/>
        </w:rPr>
        <w:t>s case, two sophisticated parties</w:t>
      </w:r>
      <w:r w:rsidRPr="003A1BAF">
        <w:rPr>
          <w:rFonts w:ascii="Times New Roman" w:hAnsi="Times New Roman" w:cs="Times New Roman"/>
          <w:sz w:val="24"/>
          <w:szCs w:val="24"/>
        </w:rPr>
        <w:t xml:space="preserve"> with </w:t>
      </w:r>
      <w:r w:rsidR="004A4776" w:rsidRPr="003A1BAF">
        <w:rPr>
          <w:rFonts w:ascii="Times New Roman" w:hAnsi="Times New Roman" w:cs="Times New Roman"/>
          <w:sz w:val="24"/>
          <w:szCs w:val="24"/>
        </w:rPr>
        <w:t xml:space="preserve">approximately </w:t>
      </w:r>
      <w:r w:rsidRPr="003A1BAF">
        <w:rPr>
          <w:rFonts w:ascii="Times New Roman" w:hAnsi="Times New Roman" w:cs="Times New Roman"/>
          <w:sz w:val="24"/>
          <w:szCs w:val="24"/>
        </w:rPr>
        <w:t>equal bargaining power entered into a voluntary contract to create a screenplay for a hit TV show. Plaintiff made</w:t>
      </w:r>
      <w:r w:rsidR="00CF2962">
        <w:rPr>
          <w:rFonts w:ascii="Times New Roman" w:hAnsi="Times New Roman" w:cs="Times New Roman"/>
          <w:sz w:val="24"/>
          <w:szCs w:val="24"/>
        </w:rPr>
        <w:t xml:space="preserve"> a good faith agreement with</w:t>
      </w:r>
      <w:r w:rsidRPr="003A1BAF">
        <w:rPr>
          <w:rFonts w:ascii="Times New Roman" w:hAnsi="Times New Roman" w:cs="Times New Roman"/>
          <w:sz w:val="24"/>
          <w:szCs w:val="24"/>
        </w:rPr>
        <w:t xml:space="preserve"> Defendant</w:t>
      </w:r>
      <w:r w:rsidR="00A41327">
        <w:rPr>
          <w:rFonts w:ascii="Times New Roman" w:hAnsi="Times New Roman" w:cs="Times New Roman"/>
          <w:sz w:val="24"/>
          <w:szCs w:val="24"/>
        </w:rPr>
        <w:t xml:space="preserve"> Elizabeth</w:t>
      </w:r>
      <w:r w:rsidRPr="003A1BAF">
        <w:rPr>
          <w:rFonts w:ascii="Times New Roman" w:hAnsi="Times New Roman" w:cs="Times New Roman"/>
          <w:sz w:val="24"/>
          <w:szCs w:val="24"/>
        </w:rPr>
        <w:t xml:space="preserve"> Lime</w:t>
      </w:r>
      <w:r w:rsidR="00A41327">
        <w:rPr>
          <w:rFonts w:ascii="Times New Roman" w:hAnsi="Times New Roman" w:cs="Times New Roman"/>
          <w:sz w:val="24"/>
          <w:szCs w:val="24"/>
        </w:rPr>
        <w:t xml:space="preserve"> (“Lime”)</w:t>
      </w:r>
      <w:r w:rsidRPr="003A1BAF">
        <w:rPr>
          <w:rFonts w:ascii="Times New Roman" w:hAnsi="Times New Roman" w:cs="Times New Roman"/>
          <w:sz w:val="24"/>
          <w:szCs w:val="24"/>
        </w:rPr>
        <w:t xml:space="preserve">, a well-known writer with more than 15 years of experience in </w:t>
      </w:r>
      <w:r w:rsidR="004A4776" w:rsidRPr="003A1BAF">
        <w:rPr>
          <w:rFonts w:ascii="Times New Roman" w:hAnsi="Times New Roman" w:cs="Times New Roman"/>
          <w:sz w:val="24"/>
          <w:szCs w:val="24"/>
        </w:rPr>
        <w:t xml:space="preserve">freelance contracting in </w:t>
      </w:r>
      <w:r w:rsidRPr="003A1BAF">
        <w:rPr>
          <w:rFonts w:ascii="Times New Roman" w:hAnsi="Times New Roman" w:cs="Times New Roman"/>
          <w:sz w:val="24"/>
          <w:szCs w:val="24"/>
        </w:rPr>
        <w:t>the television i</w:t>
      </w:r>
      <w:r w:rsidR="00CF2962">
        <w:rPr>
          <w:rFonts w:ascii="Times New Roman" w:hAnsi="Times New Roman" w:cs="Times New Roman"/>
          <w:sz w:val="24"/>
          <w:szCs w:val="24"/>
        </w:rPr>
        <w:t>ndustry. Both parties signed a</w:t>
      </w:r>
      <w:r w:rsidRPr="003A1BAF">
        <w:rPr>
          <w:rFonts w:ascii="Times New Roman" w:hAnsi="Times New Roman" w:cs="Times New Roman"/>
          <w:sz w:val="24"/>
          <w:szCs w:val="24"/>
        </w:rPr>
        <w:t xml:space="preserve"> contract in accordance with the plain meaning of the governing statute, the Copyright Act of 1976,</w:t>
      </w:r>
      <w:r w:rsidR="004A4776" w:rsidRPr="003A1BAF">
        <w:rPr>
          <w:rFonts w:ascii="Times New Roman" w:hAnsi="Times New Roman" w:cs="Times New Roman"/>
          <w:sz w:val="24"/>
          <w:szCs w:val="24"/>
        </w:rPr>
        <w:t xml:space="preserve"> 17</w:t>
      </w:r>
      <w:r w:rsidRPr="003A1BAF">
        <w:rPr>
          <w:rFonts w:ascii="Times New Roman" w:hAnsi="Times New Roman" w:cs="Times New Roman"/>
          <w:sz w:val="24"/>
          <w:szCs w:val="24"/>
        </w:rPr>
        <w:t xml:space="preserve"> U</w:t>
      </w:r>
      <w:r w:rsidR="004A4776" w:rsidRPr="003A1BAF">
        <w:rPr>
          <w:rFonts w:ascii="Times New Roman" w:hAnsi="Times New Roman" w:cs="Times New Roman"/>
          <w:sz w:val="24"/>
          <w:szCs w:val="24"/>
        </w:rPr>
        <w:t>.</w:t>
      </w:r>
      <w:r w:rsidRPr="003A1BAF">
        <w:rPr>
          <w:rFonts w:ascii="Times New Roman" w:hAnsi="Times New Roman" w:cs="Times New Roman"/>
          <w:sz w:val="24"/>
          <w:szCs w:val="24"/>
        </w:rPr>
        <w:t>S</w:t>
      </w:r>
      <w:r w:rsidR="004A4776" w:rsidRPr="003A1BAF">
        <w:rPr>
          <w:rFonts w:ascii="Times New Roman" w:hAnsi="Times New Roman" w:cs="Times New Roman"/>
          <w:sz w:val="24"/>
          <w:szCs w:val="24"/>
        </w:rPr>
        <w:t>.</w:t>
      </w:r>
      <w:r w:rsidRPr="003A1BAF">
        <w:rPr>
          <w:rFonts w:ascii="Times New Roman" w:hAnsi="Times New Roman" w:cs="Times New Roman"/>
          <w:sz w:val="24"/>
          <w:szCs w:val="24"/>
        </w:rPr>
        <w:t>C</w:t>
      </w:r>
      <w:r w:rsidR="004A4776" w:rsidRPr="003A1BAF">
        <w:rPr>
          <w:rFonts w:ascii="Times New Roman" w:hAnsi="Times New Roman" w:cs="Times New Roman"/>
          <w:sz w:val="24"/>
          <w:szCs w:val="24"/>
        </w:rPr>
        <w:t>.</w:t>
      </w:r>
      <w:r w:rsidRPr="003A1BAF">
        <w:rPr>
          <w:rFonts w:ascii="Times New Roman" w:hAnsi="Times New Roman" w:cs="Times New Roman"/>
          <w:sz w:val="24"/>
          <w:szCs w:val="24"/>
        </w:rPr>
        <w:t xml:space="preserve"> §</w:t>
      </w:r>
      <w:r w:rsidR="004A4776" w:rsidRPr="003A1BAF">
        <w:rPr>
          <w:rFonts w:ascii="Times New Roman" w:hAnsi="Times New Roman" w:cs="Times New Roman"/>
          <w:sz w:val="24"/>
          <w:szCs w:val="24"/>
        </w:rPr>
        <w:t>101. Traditionally, Courts have respected parties’ right to freedom of contract, and this principle</w:t>
      </w:r>
      <w:r w:rsidR="00F64D59" w:rsidRPr="003A1BAF">
        <w:rPr>
          <w:rFonts w:ascii="Times New Roman" w:hAnsi="Times New Roman" w:cs="Times New Roman"/>
          <w:sz w:val="24"/>
          <w:szCs w:val="24"/>
        </w:rPr>
        <w:t xml:space="preserve"> is fundamental to the case at hand.</w:t>
      </w:r>
      <w:r w:rsidR="00CF2962">
        <w:rPr>
          <w:rFonts w:ascii="Times New Roman" w:hAnsi="Times New Roman" w:cs="Times New Roman"/>
          <w:sz w:val="24"/>
          <w:szCs w:val="24"/>
        </w:rPr>
        <w:t xml:space="preserve"> T</w:t>
      </w:r>
      <w:r w:rsidR="004A4776" w:rsidRPr="003A1BAF">
        <w:rPr>
          <w:rFonts w:ascii="Times New Roman" w:hAnsi="Times New Roman" w:cs="Times New Roman"/>
          <w:sz w:val="24"/>
          <w:szCs w:val="24"/>
        </w:rPr>
        <w:t xml:space="preserve">he </w:t>
      </w:r>
      <w:r w:rsidR="00F64D59" w:rsidRPr="003A1BAF">
        <w:rPr>
          <w:rFonts w:ascii="Times New Roman" w:hAnsi="Times New Roman" w:cs="Times New Roman"/>
          <w:sz w:val="24"/>
          <w:szCs w:val="24"/>
        </w:rPr>
        <w:t xml:space="preserve">sophisticated </w:t>
      </w:r>
      <w:r w:rsidR="004A4776" w:rsidRPr="003A1BAF">
        <w:rPr>
          <w:rFonts w:ascii="Times New Roman" w:hAnsi="Times New Roman" w:cs="Times New Roman"/>
          <w:sz w:val="24"/>
          <w:szCs w:val="24"/>
        </w:rPr>
        <w:t xml:space="preserve">parties acted within the </w:t>
      </w:r>
      <w:r w:rsidR="00F64D59" w:rsidRPr="003A1BAF">
        <w:rPr>
          <w:rFonts w:ascii="Times New Roman" w:hAnsi="Times New Roman" w:cs="Times New Roman"/>
          <w:sz w:val="24"/>
          <w:szCs w:val="24"/>
        </w:rPr>
        <w:t xml:space="preserve">statute’s </w:t>
      </w:r>
      <w:r w:rsidR="004A4776" w:rsidRPr="003A1BAF">
        <w:rPr>
          <w:rFonts w:ascii="Times New Roman" w:hAnsi="Times New Roman" w:cs="Times New Roman"/>
          <w:sz w:val="24"/>
          <w:szCs w:val="24"/>
        </w:rPr>
        <w:t>plain meaning</w:t>
      </w:r>
      <w:r w:rsidR="00F64D59" w:rsidRPr="003A1BAF">
        <w:rPr>
          <w:rFonts w:ascii="Times New Roman" w:hAnsi="Times New Roman" w:cs="Times New Roman"/>
          <w:sz w:val="24"/>
          <w:szCs w:val="24"/>
        </w:rPr>
        <w:t xml:space="preserve"> by signing the “work made for hire” contract</w:t>
      </w:r>
      <w:r w:rsidR="00CF2962">
        <w:rPr>
          <w:rFonts w:ascii="Times New Roman" w:hAnsi="Times New Roman" w:cs="Times New Roman"/>
          <w:sz w:val="24"/>
          <w:szCs w:val="24"/>
        </w:rPr>
        <w:t>.</w:t>
      </w:r>
    </w:p>
    <w:p w14:paraId="741B93EC" w14:textId="77777777" w:rsidR="00C6121E" w:rsidRPr="003A1BAF" w:rsidRDefault="00234C33" w:rsidP="00C6121E">
      <w:pPr>
        <w:pStyle w:val="BodyText"/>
        <w:spacing w:line="480" w:lineRule="auto"/>
        <w:ind w:firstLine="720"/>
        <w:jc w:val="left"/>
        <w:rPr>
          <w:szCs w:val="24"/>
        </w:rPr>
      </w:pPr>
      <w:r>
        <w:rPr>
          <w:szCs w:val="24"/>
        </w:rPr>
        <w:t>At issue before this C</w:t>
      </w:r>
      <w:r w:rsidR="00CF2962">
        <w:rPr>
          <w:szCs w:val="24"/>
        </w:rPr>
        <w:t xml:space="preserve">ourt is the timing of the parties’ signature to the “work made for hire” contract. </w:t>
      </w:r>
      <w:r w:rsidR="00904BD6">
        <w:rPr>
          <w:szCs w:val="24"/>
        </w:rPr>
        <w:t xml:space="preserve">Defendants </w:t>
      </w:r>
      <w:r w:rsidR="00CF2962">
        <w:rPr>
          <w:szCs w:val="24"/>
        </w:rPr>
        <w:t xml:space="preserve">contend </w:t>
      </w:r>
      <w:r>
        <w:rPr>
          <w:szCs w:val="24"/>
        </w:rPr>
        <w:t>this contract</w:t>
      </w:r>
      <w:r w:rsidR="00CF2962">
        <w:rPr>
          <w:szCs w:val="24"/>
        </w:rPr>
        <w:t xml:space="preserve"> is i</w:t>
      </w:r>
      <w:r w:rsidR="00904BD6">
        <w:rPr>
          <w:szCs w:val="24"/>
        </w:rPr>
        <w:t>nva</w:t>
      </w:r>
      <w:r w:rsidR="00DA601A">
        <w:rPr>
          <w:szCs w:val="24"/>
        </w:rPr>
        <w:t xml:space="preserve">lid since it was signed after Lime </w:t>
      </w:r>
      <w:r w:rsidR="005E39EC">
        <w:rPr>
          <w:szCs w:val="24"/>
        </w:rPr>
        <w:t>created the screenplay, but the statute is si</w:t>
      </w:r>
      <w:r w:rsidR="00007363">
        <w:rPr>
          <w:szCs w:val="24"/>
        </w:rPr>
        <w:t>lent on the issue of the signature</w:t>
      </w:r>
      <w:r w:rsidR="005E39EC">
        <w:rPr>
          <w:szCs w:val="24"/>
        </w:rPr>
        <w:t xml:space="preserve">’s timing. </w:t>
      </w:r>
      <w:r w:rsidR="007E6E67">
        <w:rPr>
          <w:szCs w:val="24"/>
        </w:rPr>
        <w:t xml:space="preserve">Guided by the </w:t>
      </w:r>
      <w:r w:rsidR="00007363">
        <w:rPr>
          <w:szCs w:val="24"/>
        </w:rPr>
        <w:t xml:space="preserve">statute’s plain meaning </w:t>
      </w:r>
      <w:r w:rsidR="007E6E67">
        <w:rPr>
          <w:szCs w:val="24"/>
        </w:rPr>
        <w:t>and the</w:t>
      </w:r>
      <w:r>
        <w:rPr>
          <w:szCs w:val="24"/>
        </w:rPr>
        <w:t xml:space="preserve"> Second Circuit Court of </w:t>
      </w:r>
      <w:proofErr w:type="spellStart"/>
      <w:r>
        <w:rPr>
          <w:szCs w:val="24"/>
        </w:rPr>
        <w:t>Appeals’s</w:t>
      </w:r>
      <w:proofErr w:type="spellEnd"/>
      <w:r w:rsidR="007E6E67">
        <w:rPr>
          <w:szCs w:val="24"/>
        </w:rPr>
        <w:t xml:space="preserve"> decision in </w:t>
      </w:r>
      <w:r w:rsidR="007E6E67" w:rsidRPr="00234C33">
        <w:rPr>
          <w:i/>
          <w:szCs w:val="24"/>
        </w:rPr>
        <w:t>Playboy Enterprises v. Dumas</w:t>
      </w:r>
      <w:r w:rsidR="007E6E67">
        <w:rPr>
          <w:szCs w:val="24"/>
        </w:rPr>
        <w:t>, this</w:t>
      </w:r>
      <w:r w:rsidR="004A4776" w:rsidRPr="003A1BAF">
        <w:rPr>
          <w:szCs w:val="24"/>
        </w:rPr>
        <w:t xml:space="preserve"> Court should uphold the</w:t>
      </w:r>
      <w:r w:rsidR="00F64D59" w:rsidRPr="003A1BAF">
        <w:rPr>
          <w:szCs w:val="24"/>
        </w:rPr>
        <w:t xml:space="preserve"> contract </w:t>
      </w:r>
      <w:r w:rsidR="004A4776" w:rsidRPr="003A1BAF">
        <w:rPr>
          <w:szCs w:val="24"/>
        </w:rPr>
        <w:t xml:space="preserve">and </w:t>
      </w:r>
      <w:r w:rsidR="00CF2962">
        <w:rPr>
          <w:szCs w:val="24"/>
        </w:rPr>
        <w:t>affirm Plaintiff’s copyright</w:t>
      </w:r>
      <w:r w:rsidR="00F64D59" w:rsidRPr="003A1BAF">
        <w:rPr>
          <w:szCs w:val="24"/>
        </w:rPr>
        <w:t xml:space="preserve"> over the screenplay. </w:t>
      </w:r>
    </w:p>
    <w:p w14:paraId="6106AC82" w14:textId="77777777" w:rsidR="00571E10" w:rsidRPr="003A1BAF" w:rsidRDefault="00571E10" w:rsidP="00CF2962">
      <w:pPr>
        <w:spacing w:line="480" w:lineRule="auto"/>
        <w:ind w:firstLine="720"/>
        <w:rPr>
          <w:rFonts w:ascii="Times New Roman" w:hAnsi="Times New Roman" w:cs="Times New Roman"/>
          <w:sz w:val="24"/>
          <w:szCs w:val="24"/>
        </w:rPr>
      </w:pPr>
    </w:p>
    <w:p w14:paraId="5814E718" w14:textId="77777777" w:rsidR="00CF2962" w:rsidRDefault="00CF2962" w:rsidP="00CF2962">
      <w:pPr>
        <w:jc w:val="center"/>
        <w:rPr>
          <w:rFonts w:ascii="Times New Roman" w:hAnsi="Times New Roman" w:cs="Times New Roman"/>
          <w:b/>
          <w:sz w:val="24"/>
          <w:szCs w:val="24"/>
        </w:rPr>
      </w:pPr>
      <w:r>
        <w:rPr>
          <w:rFonts w:ascii="Times New Roman" w:hAnsi="Times New Roman" w:cs="Times New Roman"/>
          <w:b/>
          <w:sz w:val="24"/>
          <w:szCs w:val="24"/>
        </w:rPr>
        <w:lastRenderedPageBreak/>
        <w:t>II. STANDARD OF REVIEW</w:t>
      </w:r>
    </w:p>
    <w:p w14:paraId="34F264D4" w14:textId="77777777" w:rsidR="00484659" w:rsidRPr="00CF2962" w:rsidRDefault="00484659" w:rsidP="009F7798">
      <w:pPr>
        <w:jc w:val="center"/>
        <w:rPr>
          <w:rFonts w:ascii="Times New Roman" w:hAnsi="Times New Roman" w:cs="Times New Roman"/>
          <w:i/>
          <w:sz w:val="24"/>
          <w:szCs w:val="24"/>
        </w:rPr>
      </w:pPr>
      <w:r w:rsidRPr="00CF2962">
        <w:rPr>
          <w:rFonts w:ascii="Times New Roman" w:hAnsi="Times New Roman" w:cs="Times New Roman"/>
          <w:i/>
          <w:sz w:val="24"/>
          <w:szCs w:val="24"/>
        </w:rPr>
        <w:t xml:space="preserve">Plaintiff’s Evidence Meets the Standard of Review for </w:t>
      </w:r>
      <w:r w:rsidR="00B722E4" w:rsidRPr="00CF2962">
        <w:rPr>
          <w:rFonts w:ascii="Times New Roman" w:hAnsi="Times New Roman" w:cs="Times New Roman"/>
          <w:i/>
          <w:sz w:val="24"/>
          <w:szCs w:val="24"/>
        </w:rPr>
        <w:t xml:space="preserve">a Rule </w:t>
      </w:r>
      <w:r w:rsidRPr="00CF2962">
        <w:rPr>
          <w:rFonts w:ascii="Times New Roman" w:hAnsi="Times New Roman" w:cs="Times New Roman"/>
          <w:i/>
          <w:sz w:val="24"/>
          <w:szCs w:val="24"/>
        </w:rPr>
        <w:t>12(b)(6) Motion to Dismiss.</w:t>
      </w:r>
    </w:p>
    <w:p w14:paraId="5212DC13" w14:textId="77777777" w:rsidR="00935A0F" w:rsidRDefault="00484659" w:rsidP="00484659">
      <w:pPr>
        <w:spacing w:line="480" w:lineRule="auto"/>
        <w:rPr>
          <w:rFonts w:ascii="Times New Roman" w:eastAsia="Times New Roman" w:hAnsi="Times New Roman" w:cs="Times New Roman"/>
          <w:sz w:val="24"/>
          <w:szCs w:val="24"/>
        </w:rPr>
      </w:pPr>
      <w:r w:rsidRPr="003A1BAF">
        <w:rPr>
          <w:rFonts w:ascii="Times New Roman" w:hAnsi="Times New Roman" w:cs="Times New Roman"/>
          <w:sz w:val="24"/>
          <w:szCs w:val="24"/>
        </w:rPr>
        <w:tab/>
        <w:t>Defendant brought this motion to dismiss under Federal Rules of Civil Procedure Rule 12(b)(6)</w:t>
      </w:r>
      <w:r w:rsidR="00B722E4" w:rsidRPr="003A1BAF">
        <w:rPr>
          <w:rFonts w:ascii="Times New Roman" w:hAnsi="Times New Roman" w:cs="Times New Roman"/>
          <w:sz w:val="24"/>
          <w:szCs w:val="24"/>
        </w:rPr>
        <w:t xml:space="preserve">, </w:t>
      </w:r>
      <w:r w:rsidR="007E6E67">
        <w:rPr>
          <w:rFonts w:ascii="Times New Roman" w:hAnsi="Times New Roman" w:cs="Times New Roman"/>
          <w:sz w:val="24"/>
          <w:szCs w:val="24"/>
        </w:rPr>
        <w:t>alleging Plaintiff has failed to state a claim upon which relief may be granted.</w:t>
      </w:r>
      <w:r w:rsidR="00962632" w:rsidRPr="003A1BAF">
        <w:rPr>
          <w:rFonts w:ascii="Times New Roman" w:hAnsi="Times New Roman" w:cs="Times New Roman"/>
          <w:sz w:val="24"/>
          <w:szCs w:val="24"/>
        </w:rPr>
        <w:t xml:space="preserve"> Fed. R. Civ. P. 12(b)(6).</w:t>
      </w:r>
      <w:r w:rsidRPr="003A1BAF">
        <w:rPr>
          <w:rFonts w:ascii="Times New Roman" w:hAnsi="Times New Roman" w:cs="Times New Roman"/>
          <w:sz w:val="24"/>
          <w:szCs w:val="24"/>
        </w:rPr>
        <w:t xml:space="preserve"> Accordingly, the Court must take all facts in Plaintiff’s complaint as true. In </w:t>
      </w:r>
      <w:r w:rsidR="00350B23">
        <w:rPr>
          <w:rFonts w:ascii="Times New Roman" w:hAnsi="Times New Roman" w:cs="Times New Roman"/>
          <w:i/>
          <w:sz w:val="24"/>
          <w:szCs w:val="24"/>
        </w:rPr>
        <w:t>Iqbal</w:t>
      </w:r>
      <w:r w:rsidRPr="003A1BAF">
        <w:rPr>
          <w:rFonts w:ascii="Times New Roman" w:hAnsi="Times New Roman" w:cs="Times New Roman"/>
          <w:sz w:val="24"/>
          <w:szCs w:val="24"/>
        </w:rPr>
        <w:t>, the Supreme Court articulated the standard of review for a Rule 12(b)(6) motion as requiring plausibility in addition to a reasonable expectation discovery will produce evidence to suppor</w:t>
      </w:r>
      <w:r w:rsidR="00234C33">
        <w:rPr>
          <w:rFonts w:ascii="Times New Roman" w:hAnsi="Times New Roman" w:cs="Times New Roman"/>
          <w:sz w:val="24"/>
          <w:szCs w:val="24"/>
        </w:rPr>
        <w:t xml:space="preserve">t the non-moving party’s case. “To survive a motion to dismiss, a complaint must contain sufficient factual matter, accepted as true, to ‘state a claim to relief that is plausible on its face.’” </w:t>
      </w:r>
      <w:proofErr w:type="gramStart"/>
      <w:r w:rsidR="00234C33" w:rsidRPr="00007363">
        <w:rPr>
          <w:rFonts w:ascii="Times New Roman" w:hAnsi="Times New Roman" w:cs="Times New Roman"/>
          <w:i/>
          <w:sz w:val="24"/>
          <w:szCs w:val="24"/>
        </w:rPr>
        <w:t>Iqbal v. Ashcroft</w:t>
      </w:r>
      <w:r w:rsidR="00234C33">
        <w:rPr>
          <w:rFonts w:ascii="Times New Roman" w:hAnsi="Times New Roman" w:cs="Times New Roman"/>
          <w:sz w:val="24"/>
          <w:szCs w:val="24"/>
        </w:rPr>
        <w:t xml:space="preserve">, 129 </w:t>
      </w:r>
      <w:proofErr w:type="spellStart"/>
      <w:r w:rsidR="00234C33">
        <w:rPr>
          <w:rFonts w:ascii="Times New Roman" w:hAnsi="Times New Roman" w:cs="Times New Roman"/>
          <w:sz w:val="24"/>
          <w:szCs w:val="24"/>
        </w:rPr>
        <w:t>S.Ct</w:t>
      </w:r>
      <w:proofErr w:type="spellEnd"/>
      <w:r w:rsidR="00234C33">
        <w:rPr>
          <w:rFonts w:ascii="Times New Roman" w:hAnsi="Times New Roman" w:cs="Times New Roman"/>
          <w:sz w:val="24"/>
          <w:szCs w:val="24"/>
        </w:rPr>
        <w:t>. 1937, 1949 (2009).</w:t>
      </w:r>
      <w:proofErr w:type="gramEnd"/>
      <w:r w:rsidR="00376334">
        <w:rPr>
          <w:rFonts w:ascii="Times New Roman" w:eastAsia="Times New Roman" w:hAnsi="Times New Roman" w:cs="Times New Roman"/>
          <w:sz w:val="24"/>
          <w:szCs w:val="24"/>
        </w:rPr>
        <w:t xml:space="preserve"> </w:t>
      </w:r>
    </w:p>
    <w:p w14:paraId="3891B48C" w14:textId="77777777" w:rsidR="00484659" w:rsidRDefault="00B722E4" w:rsidP="00935A0F">
      <w:pPr>
        <w:spacing w:line="480" w:lineRule="auto"/>
        <w:ind w:firstLine="720"/>
        <w:rPr>
          <w:rFonts w:ascii="Times New Roman" w:eastAsia="Times New Roman" w:hAnsi="Times New Roman" w:cs="Times New Roman"/>
          <w:sz w:val="24"/>
          <w:szCs w:val="24"/>
        </w:rPr>
      </w:pPr>
      <w:r w:rsidRPr="003A1BAF">
        <w:rPr>
          <w:rFonts w:ascii="Times New Roman" w:eastAsia="Times New Roman" w:hAnsi="Times New Roman" w:cs="Times New Roman"/>
          <w:sz w:val="24"/>
          <w:szCs w:val="24"/>
        </w:rPr>
        <w:t xml:space="preserve">Plaintiff’s case meets the </w:t>
      </w:r>
      <w:r w:rsidR="00234C33">
        <w:rPr>
          <w:rFonts w:ascii="Times New Roman" w:eastAsia="Times New Roman" w:hAnsi="Times New Roman" w:cs="Times New Roman"/>
          <w:i/>
          <w:sz w:val="24"/>
          <w:szCs w:val="24"/>
        </w:rPr>
        <w:t>Iqbal</w:t>
      </w:r>
      <w:r w:rsidRPr="003A1BAF">
        <w:rPr>
          <w:rFonts w:ascii="Times New Roman" w:eastAsia="Times New Roman" w:hAnsi="Times New Roman" w:cs="Times New Roman"/>
          <w:sz w:val="24"/>
          <w:szCs w:val="24"/>
        </w:rPr>
        <w:t xml:space="preserve"> test because the Court must take the following facts as true: Lime is </w:t>
      </w:r>
      <w:r w:rsidR="00234C33">
        <w:rPr>
          <w:rFonts w:ascii="Times New Roman" w:eastAsia="Times New Roman" w:hAnsi="Times New Roman" w:cs="Times New Roman"/>
          <w:sz w:val="24"/>
          <w:szCs w:val="24"/>
        </w:rPr>
        <w:t>an experienced freelance writer;</w:t>
      </w:r>
      <w:r w:rsidRPr="003A1BAF">
        <w:rPr>
          <w:rFonts w:ascii="Times New Roman" w:eastAsia="Times New Roman" w:hAnsi="Times New Roman" w:cs="Times New Roman"/>
          <w:sz w:val="24"/>
          <w:szCs w:val="24"/>
        </w:rPr>
        <w:t xml:space="preserve"> the parties orally agreed to the “work made for hire” provisi</w:t>
      </w:r>
      <w:r w:rsidR="00234C33">
        <w:rPr>
          <w:rFonts w:ascii="Times New Roman" w:eastAsia="Times New Roman" w:hAnsi="Times New Roman" w:cs="Times New Roman"/>
          <w:sz w:val="24"/>
          <w:szCs w:val="24"/>
        </w:rPr>
        <w:t xml:space="preserve">on; </w:t>
      </w:r>
      <w:r w:rsidRPr="003A1BAF">
        <w:rPr>
          <w:rFonts w:ascii="Times New Roman" w:eastAsia="Times New Roman" w:hAnsi="Times New Roman" w:cs="Times New Roman"/>
          <w:sz w:val="24"/>
          <w:szCs w:val="24"/>
        </w:rPr>
        <w:t>the parties subsequently signed a contract stating the screenplay was a “work made for hire</w:t>
      </w:r>
      <w:r w:rsidR="00234C33">
        <w:rPr>
          <w:rFonts w:ascii="Times New Roman" w:eastAsia="Times New Roman" w:hAnsi="Times New Roman" w:cs="Times New Roman"/>
          <w:sz w:val="24"/>
          <w:szCs w:val="24"/>
        </w:rPr>
        <w:t>;</w:t>
      </w:r>
      <w:r w:rsidRPr="003A1BAF">
        <w:rPr>
          <w:rFonts w:ascii="Times New Roman" w:eastAsia="Times New Roman" w:hAnsi="Times New Roman" w:cs="Times New Roman"/>
          <w:sz w:val="24"/>
          <w:szCs w:val="24"/>
        </w:rPr>
        <w:t>”</w:t>
      </w:r>
      <w:r w:rsidR="00376334">
        <w:rPr>
          <w:rFonts w:ascii="Times New Roman" w:eastAsia="Times New Roman" w:hAnsi="Times New Roman" w:cs="Times New Roman"/>
          <w:sz w:val="24"/>
          <w:szCs w:val="24"/>
        </w:rPr>
        <w:t xml:space="preserve"> </w:t>
      </w:r>
      <w:r w:rsidR="00234C33">
        <w:rPr>
          <w:rFonts w:ascii="Times New Roman" w:eastAsia="Times New Roman" w:hAnsi="Times New Roman" w:cs="Times New Roman"/>
          <w:sz w:val="24"/>
          <w:szCs w:val="24"/>
        </w:rPr>
        <w:t>and such a “work made for hire” contract vests copyright with Plaintiff</w:t>
      </w:r>
      <w:r w:rsidR="009F7798">
        <w:rPr>
          <w:rFonts w:ascii="Times New Roman" w:eastAsia="Times New Roman" w:hAnsi="Times New Roman" w:cs="Times New Roman"/>
          <w:sz w:val="24"/>
          <w:szCs w:val="24"/>
        </w:rPr>
        <w:t xml:space="preserve"> according to common law precedent and canons of statutory interpretation</w:t>
      </w:r>
      <w:r w:rsidR="00234C33">
        <w:rPr>
          <w:rFonts w:ascii="Times New Roman" w:eastAsia="Times New Roman" w:hAnsi="Times New Roman" w:cs="Times New Roman"/>
          <w:sz w:val="24"/>
          <w:szCs w:val="24"/>
        </w:rPr>
        <w:t xml:space="preserve">. </w:t>
      </w:r>
      <w:r w:rsidR="00376334">
        <w:rPr>
          <w:rFonts w:ascii="Times New Roman" w:eastAsia="Times New Roman" w:hAnsi="Times New Roman" w:cs="Times New Roman"/>
          <w:sz w:val="24"/>
          <w:szCs w:val="24"/>
        </w:rPr>
        <w:t>Given these fact</w:t>
      </w:r>
      <w:r w:rsidR="009F7798">
        <w:rPr>
          <w:rFonts w:ascii="Times New Roman" w:eastAsia="Times New Roman" w:hAnsi="Times New Roman" w:cs="Times New Roman"/>
          <w:sz w:val="24"/>
          <w:szCs w:val="24"/>
        </w:rPr>
        <w:t>s</w:t>
      </w:r>
      <w:r w:rsidR="00376334">
        <w:rPr>
          <w:rFonts w:ascii="Times New Roman" w:eastAsia="Times New Roman" w:hAnsi="Times New Roman" w:cs="Times New Roman"/>
          <w:sz w:val="24"/>
          <w:szCs w:val="24"/>
        </w:rPr>
        <w:t>, Plaintiff</w:t>
      </w:r>
      <w:r w:rsidR="00A41327">
        <w:rPr>
          <w:rFonts w:ascii="Times New Roman" w:eastAsia="Times New Roman" w:hAnsi="Times New Roman" w:cs="Times New Roman"/>
          <w:sz w:val="24"/>
          <w:szCs w:val="24"/>
        </w:rPr>
        <w:t xml:space="preserve"> has sufficient support to show Plaintiff’s claim is </w:t>
      </w:r>
      <w:r w:rsidR="009F7798">
        <w:rPr>
          <w:rFonts w:ascii="Times New Roman" w:eastAsia="Times New Roman" w:hAnsi="Times New Roman" w:cs="Times New Roman"/>
          <w:sz w:val="24"/>
          <w:szCs w:val="24"/>
        </w:rPr>
        <w:t xml:space="preserve">plausible under the </w:t>
      </w:r>
      <w:r w:rsidR="009F7798" w:rsidRPr="009F7798">
        <w:rPr>
          <w:rFonts w:ascii="Times New Roman" w:eastAsia="Times New Roman" w:hAnsi="Times New Roman" w:cs="Times New Roman"/>
          <w:i/>
          <w:sz w:val="24"/>
          <w:szCs w:val="24"/>
        </w:rPr>
        <w:t>Iqbal</w:t>
      </w:r>
      <w:r w:rsidR="009F7798">
        <w:rPr>
          <w:rFonts w:ascii="Times New Roman" w:eastAsia="Times New Roman" w:hAnsi="Times New Roman" w:cs="Times New Roman"/>
          <w:sz w:val="24"/>
          <w:szCs w:val="24"/>
        </w:rPr>
        <w:t xml:space="preserve"> standards.</w:t>
      </w:r>
    </w:p>
    <w:p w14:paraId="48C82B10" w14:textId="77777777" w:rsidR="005E6D42" w:rsidRPr="0073670A" w:rsidRDefault="005E6D42" w:rsidP="00935A0F">
      <w:pPr>
        <w:spacing w:line="480" w:lineRule="auto"/>
        <w:ind w:firstLine="720"/>
        <w:rPr>
          <w:rFonts w:ascii="Times New Roman" w:hAnsi="Times New Roman" w:cs="Times New Roman"/>
          <w:sz w:val="24"/>
          <w:szCs w:val="24"/>
        </w:rPr>
      </w:pPr>
    </w:p>
    <w:p w14:paraId="4228D43D" w14:textId="77777777" w:rsidR="00F64D59" w:rsidRPr="009D5F8A" w:rsidRDefault="00A41327" w:rsidP="00A41327">
      <w:pPr>
        <w:jc w:val="center"/>
        <w:rPr>
          <w:rFonts w:ascii="Times New Roman" w:hAnsi="Times New Roman" w:cs="Times New Roman"/>
          <w:b/>
          <w:sz w:val="24"/>
          <w:szCs w:val="24"/>
          <w:u w:val="single"/>
        </w:rPr>
      </w:pPr>
      <w:r>
        <w:rPr>
          <w:rFonts w:ascii="Times New Roman" w:hAnsi="Times New Roman" w:cs="Times New Roman"/>
          <w:b/>
          <w:sz w:val="24"/>
          <w:szCs w:val="24"/>
        </w:rPr>
        <w:t>I</w:t>
      </w:r>
      <w:r w:rsidR="00F64D59" w:rsidRPr="003A1BAF">
        <w:rPr>
          <w:rFonts w:ascii="Times New Roman" w:hAnsi="Times New Roman" w:cs="Times New Roman"/>
          <w:b/>
          <w:sz w:val="24"/>
          <w:szCs w:val="24"/>
        </w:rPr>
        <w:t xml:space="preserve">II. </w:t>
      </w:r>
      <w:r w:rsidR="00C008C6" w:rsidRPr="003A1BAF">
        <w:rPr>
          <w:rFonts w:ascii="Times New Roman" w:hAnsi="Times New Roman" w:cs="Times New Roman"/>
          <w:b/>
          <w:sz w:val="24"/>
          <w:szCs w:val="24"/>
        </w:rPr>
        <w:t>FACTS</w:t>
      </w:r>
    </w:p>
    <w:p w14:paraId="3362F051" w14:textId="77777777" w:rsidR="0056737E" w:rsidRPr="003A1BAF" w:rsidRDefault="005E1E80" w:rsidP="00962632">
      <w:pPr>
        <w:pStyle w:val="BodyText"/>
        <w:spacing w:line="480" w:lineRule="auto"/>
        <w:ind w:firstLine="720"/>
        <w:jc w:val="left"/>
        <w:rPr>
          <w:szCs w:val="24"/>
        </w:rPr>
      </w:pPr>
      <w:r w:rsidRPr="003A1BAF">
        <w:rPr>
          <w:szCs w:val="24"/>
        </w:rPr>
        <w:t>On March 27, 2010, Dave Nelson, an employee and an agent of the Plaintiff</w:t>
      </w:r>
      <w:r w:rsidR="00350B23">
        <w:rPr>
          <w:szCs w:val="24"/>
        </w:rPr>
        <w:t xml:space="preserve">, met with </w:t>
      </w:r>
      <w:r w:rsidR="00A41327">
        <w:rPr>
          <w:szCs w:val="24"/>
        </w:rPr>
        <w:t>Lime</w:t>
      </w:r>
      <w:r w:rsidRPr="003A1BAF">
        <w:rPr>
          <w:szCs w:val="24"/>
        </w:rPr>
        <w:t>. During the meeting, Nelson and Lime ent</w:t>
      </w:r>
      <w:r w:rsidR="00962632" w:rsidRPr="003A1BAF">
        <w:rPr>
          <w:szCs w:val="24"/>
        </w:rPr>
        <w:t>ered into an oral agreement:</w:t>
      </w:r>
      <w:r w:rsidRPr="003A1BAF">
        <w:rPr>
          <w:szCs w:val="24"/>
        </w:rPr>
        <w:t xml:space="preserve"> Lime would write a screenplay as a </w:t>
      </w:r>
      <w:r w:rsidR="00962632" w:rsidRPr="003A1BAF">
        <w:rPr>
          <w:szCs w:val="24"/>
        </w:rPr>
        <w:t>“</w:t>
      </w:r>
      <w:r w:rsidRPr="003A1BAF">
        <w:rPr>
          <w:szCs w:val="24"/>
        </w:rPr>
        <w:t xml:space="preserve">work </w:t>
      </w:r>
      <w:r w:rsidR="00962632" w:rsidRPr="003A1BAF">
        <w:rPr>
          <w:szCs w:val="24"/>
        </w:rPr>
        <w:t xml:space="preserve">made </w:t>
      </w:r>
      <w:r w:rsidRPr="003A1BAF">
        <w:rPr>
          <w:szCs w:val="24"/>
        </w:rPr>
        <w:t>for hire</w:t>
      </w:r>
      <w:r w:rsidR="00962632" w:rsidRPr="003A1BAF">
        <w:rPr>
          <w:szCs w:val="24"/>
        </w:rPr>
        <w:t>”</w:t>
      </w:r>
      <w:r w:rsidR="00F8411F">
        <w:rPr>
          <w:szCs w:val="24"/>
        </w:rPr>
        <w:t xml:space="preserve"> for Plaintiff’s TV show, </w:t>
      </w:r>
      <w:r w:rsidR="00F8411F" w:rsidRPr="00F8411F">
        <w:rPr>
          <w:i/>
          <w:szCs w:val="24"/>
        </w:rPr>
        <w:t>Lawless Love</w:t>
      </w:r>
      <w:r w:rsidR="00F8411F">
        <w:rPr>
          <w:szCs w:val="24"/>
        </w:rPr>
        <w:t>,</w:t>
      </w:r>
      <w:r w:rsidRPr="003A1BAF">
        <w:rPr>
          <w:szCs w:val="24"/>
        </w:rPr>
        <w:t xml:space="preserve"> in exchange for $6,000</w:t>
      </w:r>
      <w:r w:rsidR="0056737E" w:rsidRPr="003A1BAF">
        <w:rPr>
          <w:szCs w:val="24"/>
        </w:rPr>
        <w:t xml:space="preserve"> paid by the Plaintiff</w:t>
      </w:r>
      <w:r w:rsidR="00C6121E">
        <w:rPr>
          <w:szCs w:val="24"/>
        </w:rPr>
        <w:t>.</w:t>
      </w:r>
      <w:r w:rsidRPr="003A1BAF">
        <w:rPr>
          <w:szCs w:val="24"/>
        </w:rPr>
        <w:t xml:space="preserve"> </w:t>
      </w:r>
      <w:proofErr w:type="gramStart"/>
      <w:r w:rsidR="00350B23">
        <w:rPr>
          <w:szCs w:val="24"/>
        </w:rPr>
        <w:t>(</w:t>
      </w:r>
      <w:proofErr w:type="spellStart"/>
      <w:r w:rsidR="00350B23">
        <w:rPr>
          <w:szCs w:val="24"/>
        </w:rPr>
        <w:t>Compl</w:t>
      </w:r>
      <w:proofErr w:type="spellEnd"/>
      <w:r w:rsidR="00350B23">
        <w:rPr>
          <w:szCs w:val="24"/>
        </w:rPr>
        <w:t>. ¶ 13).</w:t>
      </w:r>
      <w:proofErr w:type="gramEnd"/>
    </w:p>
    <w:p w14:paraId="75AA2A31" w14:textId="77777777" w:rsidR="0056737E" w:rsidRPr="003A1BAF" w:rsidRDefault="00962632" w:rsidP="0056737E">
      <w:pPr>
        <w:pStyle w:val="BodyText"/>
        <w:spacing w:line="480" w:lineRule="auto"/>
        <w:ind w:firstLine="720"/>
        <w:jc w:val="left"/>
        <w:rPr>
          <w:szCs w:val="24"/>
        </w:rPr>
      </w:pPr>
      <w:r w:rsidRPr="003A1BAF">
        <w:rPr>
          <w:szCs w:val="24"/>
        </w:rPr>
        <w:t xml:space="preserve">As part of the oral agreement, Nelson explicitly informed </w:t>
      </w:r>
      <w:r w:rsidR="00350B23">
        <w:rPr>
          <w:szCs w:val="24"/>
        </w:rPr>
        <w:t>L</w:t>
      </w:r>
      <w:r w:rsidRPr="003A1BAF">
        <w:rPr>
          <w:szCs w:val="24"/>
        </w:rPr>
        <w:t xml:space="preserve">ime, “Your work on the </w:t>
      </w:r>
      <w:r w:rsidRPr="003A1BAF">
        <w:rPr>
          <w:szCs w:val="24"/>
        </w:rPr>
        <w:lastRenderedPageBreak/>
        <w:t xml:space="preserve">screenplay is for hire. For all intents and purposes, we’ll [Plaintiff] be the author.” </w:t>
      </w:r>
      <w:proofErr w:type="gramStart"/>
      <w:r w:rsidR="00350B23">
        <w:rPr>
          <w:szCs w:val="24"/>
        </w:rPr>
        <w:t>(</w:t>
      </w:r>
      <w:proofErr w:type="spellStart"/>
      <w:r w:rsidR="00350B23">
        <w:rPr>
          <w:szCs w:val="24"/>
        </w:rPr>
        <w:t>Compl</w:t>
      </w:r>
      <w:proofErr w:type="spellEnd"/>
      <w:r w:rsidR="00350B23">
        <w:rPr>
          <w:szCs w:val="24"/>
        </w:rPr>
        <w:t>.</w:t>
      </w:r>
      <w:r w:rsidRPr="003A1BAF">
        <w:rPr>
          <w:szCs w:val="24"/>
        </w:rPr>
        <w:t xml:space="preserve"> ¶ 16</w:t>
      </w:r>
      <w:r w:rsidR="00350B23">
        <w:rPr>
          <w:szCs w:val="24"/>
        </w:rPr>
        <w:t>)</w:t>
      </w:r>
      <w:r w:rsidRPr="003A1BAF">
        <w:rPr>
          <w:szCs w:val="24"/>
        </w:rPr>
        <w:t>.</w:t>
      </w:r>
      <w:proofErr w:type="gramEnd"/>
      <w:r w:rsidRPr="003A1BAF">
        <w:rPr>
          <w:szCs w:val="24"/>
        </w:rPr>
        <w:t xml:space="preserve"> </w:t>
      </w:r>
      <w:r w:rsidR="0056737E" w:rsidRPr="003A1BAF">
        <w:rPr>
          <w:szCs w:val="24"/>
        </w:rPr>
        <w:t>Additionally,</w:t>
      </w:r>
      <w:r w:rsidRPr="003A1BAF">
        <w:rPr>
          <w:szCs w:val="24"/>
        </w:rPr>
        <w:t xml:space="preserve"> when Nelson asked </w:t>
      </w:r>
      <w:r w:rsidR="0056737E" w:rsidRPr="003A1BAF">
        <w:rPr>
          <w:szCs w:val="24"/>
        </w:rPr>
        <w:t>Lime if she understood the agreement included the “work made for hire” provision, and</w:t>
      </w:r>
      <w:r w:rsidRPr="003A1BAF">
        <w:rPr>
          <w:szCs w:val="24"/>
        </w:rPr>
        <w:t xml:space="preserve"> if she wa</w:t>
      </w:r>
      <w:r w:rsidR="0056737E" w:rsidRPr="003A1BAF">
        <w:rPr>
          <w:szCs w:val="24"/>
        </w:rPr>
        <w:t>s okay with the agreement containing the “work made for hire” provision,</w:t>
      </w:r>
      <w:r w:rsidRPr="003A1BAF">
        <w:rPr>
          <w:szCs w:val="24"/>
        </w:rPr>
        <w:t xml:space="preserve"> Lime replied, “Yes.” </w:t>
      </w:r>
      <w:proofErr w:type="gramStart"/>
      <w:r w:rsidR="00350B23">
        <w:rPr>
          <w:szCs w:val="24"/>
        </w:rPr>
        <w:t>(</w:t>
      </w:r>
      <w:proofErr w:type="spellStart"/>
      <w:r w:rsidR="00350B23">
        <w:rPr>
          <w:szCs w:val="24"/>
        </w:rPr>
        <w:t>Compl</w:t>
      </w:r>
      <w:proofErr w:type="spellEnd"/>
      <w:r w:rsidR="00350B23">
        <w:rPr>
          <w:szCs w:val="24"/>
        </w:rPr>
        <w:t xml:space="preserve">. </w:t>
      </w:r>
      <w:r w:rsidR="0056737E" w:rsidRPr="003A1BAF">
        <w:rPr>
          <w:szCs w:val="24"/>
        </w:rPr>
        <w:t>¶ 17</w:t>
      </w:r>
      <w:r w:rsidR="00350B23">
        <w:rPr>
          <w:szCs w:val="24"/>
        </w:rPr>
        <w:t>)</w:t>
      </w:r>
      <w:r w:rsidR="0056737E" w:rsidRPr="003A1BAF">
        <w:rPr>
          <w:szCs w:val="24"/>
        </w:rPr>
        <w:t>.</w:t>
      </w:r>
      <w:proofErr w:type="gramEnd"/>
    </w:p>
    <w:p w14:paraId="1C2180AE" w14:textId="77777777" w:rsidR="00F8411F" w:rsidRPr="003A1BAF" w:rsidRDefault="0056737E" w:rsidP="00F8411F">
      <w:pPr>
        <w:pStyle w:val="BodyText"/>
        <w:spacing w:line="480" w:lineRule="auto"/>
        <w:ind w:firstLine="720"/>
        <w:jc w:val="left"/>
        <w:rPr>
          <w:szCs w:val="24"/>
        </w:rPr>
      </w:pPr>
      <w:r w:rsidRPr="003A1BAF">
        <w:rPr>
          <w:szCs w:val="24"/>
        </w:rPr>
        <w:t>After making the oral agreement, Lime began writing the screenplay</w:t>
      </w:r>
      <w:r w:rsidR="00CF2CF1">
        <w:rPr>
          <w:szCs w:val="24"/>
        </w:rPr>
        <w:t>, titled “Anticipatory Repudiation.”</w:t>
      </w:r>
      <w:r w:rsidRPr="003A1BAF">
        <w:rPr>
          <w:szCs w:val="24"/>
        </w:rPr>
        <w:t xml:space="preserve"> Lime </w:t>
      </w:r>
      <w:r w:rsidR="00CF2CF1">
        <w:rPr>
          <w:szCs w:val="24"/>
        </w:rPr>
        <w:t>submitted</w:t>
      </w:r>
      <w:r w:rsidRPr="003A1BAF">
        <w:rPr>
          <w:szCs w:val="24"/>
        </w:rPr>
        <w:t xml:space="preserve"> t</w:t>
      </w:r>
      <w:r w:rsidR="00CF2CF1">
        <w:rPr>
          <w:szCs w:val="24"/>
        </w:rPr>
        <w:t>he screenplay to Plaintiff on April 1, 2010.</w:t>
      </w:r>
      <w:r w:rsidR="00F8411F">
        <w:rPr>
          <w:szCs w:val="24"/>
        </w:rPr>
        <w:t xml:space="preserve"> </w:t>
      </w:r>
      <w:proofErr w:type="gramStart"/>
      <w:r w:rsidR="00F8411F">
        <w:rPr>
          <w:szCs w:val="24"/>
        </w:rPr>
        <w:t>(</w:t>
      </w:r>
      <w:proofErr w:type="spellStart"/>
      <w:r w:rsidR="00F8411F">
        <w:rPr>
          <w:szCs w:val="24"/>
        </w:rPr>
        <w:t>Compl</w:t>
      </w:r>
      <w:proofErr w:type="spellEnd"/>
      <w:r w:rsidR="00F8411F">
        <w:rPr>
          <w:szCs w:val="24"/>
        </w:rPr>
        <w:t>. ¶ 21)</w:t>
      </w:r>
      <w:r w:rsidR="00F8411F" w:rsidRPr="003A1BAF">
        <w:rPr>
          <w:szCs w:val="24"/>
        </w:rPr>
        <w:t>.</w:t>
      </w:r>
      <w:proofErr w:type="gramEnd"/>
    </w:p>
    <w:p w14:paraId="4C5255D2" w14:textId="77777777" w:rsidR="00F8411F" w:rsidRDefault="00F8411F" w:rsidP="00F8411F">
      <w:pPr>
        <w:pStyle w:val="BodyText"/>
        <w:spacing w:line="480" w:lineRule="auto"/>
        <w:ind w:firstLine="720"/>
        <w:jc w:val="left"/>
        <w:rPr>
          <w:szCs w:val="24"/>
        </w:rPr>
      </w:pPr>
      <w:r>
        <w:rPr>
          <w:szCs w:val="24"/>
        </w:rPr>
        <w:t>The following day,</w:t>
      </w:r>
      <w:r w:rsidR="00CF2CF1">
        <w:rPr>
          <w:szCs w:val="24"/>
        </w:rPr>
        <w:t xml:space="preserve"> Plaintiff registered “Anticipatory Repudiation” with the U.S. Registe</w:t>
      </w:r>
      <w:r>
        <w:rPr>
          <w:szCs w:val="24"/>
        </w:rPr>
        <w:t xml:space="preserve">r of Copyrights and received a certificate of registration. </w:t>
      </w:r>
      <w:proofErr w:type="gramStart"/>
      <w:r>
        <w:rPr>
          <w:szCs w:val="24"/>
        </w:rPr>
        <w:t>(</w:t>
      </w:r>
      <w:proofErr w:type="spellStart"/>
      <w:r>
        <w:rPr>
          <w:szCs w:val="24"/>
        </w:rPr>
        <w:t>Compl</w:t>
      </w:r>
      <w:proofErr w:type="spellEnd"/>
      <w:r>
        <w:rPr>
          <w:szCs w:val="24"/>
        </w:rPr>
        <w:t>. ¶ 22)</w:t>
      </w:r>
      <w:r w:rsidRPr="003A1BAF">
        <w:rPr>
          <w:szCs w:val="24"/>
        </w:rPr>
        <w:t>.</w:t>
      </w:r>
      <w:proofErr w:type="gramEnd"/>
      <w:r>
        <w:rPr>
          <w:szCs w:val="24"/>
        </w:rPr>
        <w:t xml:space="preserve"> In accordance with this certificate of registration, Plaintiff has exclusive copyright over “Anticipatory Repudiation.”</w:t>
      </w:r>
      <w:r w:rsidR="0056737E" w:rsidRPr="003A1BAF">
        <w:rPr>
          <w:szCs w:val="24"/>
        </w:rPr>
        <w:t xml:space="preserve"> </w:t>
      </w:r>
      <w:proofErr w:type="gramStart"/>
      <w:r>
        <w:rPr>
          <w:szCs w:val="24"/>
        </w:rPr>
        <w:t>(</w:t>
      </w:r>
      <w:proofErr w:type="spellStart"/>
      <w:r>
        <w:rPr>
          <w:szCs w:val="24"/>
        </w:rPr>
        <w:t>Compl</w:t>
      </w:r>
      <w:proofErr w:type="spellEnd"/>
      <w:r>
        <w:rPr>
          <w:szCs w:val="24"/>
        </w:rPr>
        <w:t>. ¶ 22)</w:t>
      </w:r>
      <w:r w:rsidRPr="003A1BAF">
        <w:rPr>
          <w:szCs w:val="24"/>
        </w:rPr>
        <w:t>.</w:t>
      </w:r>
      <w:proofErr w:type="gramEnd"/>
      <w:r>
        <w:rPr>
          <w:szCs w:val="24"/>
        </w:rPr>
        <w:t xml:space="preserve"> </w:t>
      </w:r>
    </w:p>
    <w:p w14:paraId="0DB3457D" w14:textId="77777777" w:rsidR="0056737E" w:rsidRPr="003A1BAF" w:rsidRDefault="0056737E" w:rsidP="00F8411F">
      <w:pPr>
        <w:pStyle w:val="BodyText"/>
        <w:spacing w:line="480" w:lineRule="auto"/>
        <w:ind w:firstLine="720"/>
        <w:jc w:val="left"/>
        <w:rPr>
          <w:szCs w:val="24"/>
        </w:rPr>
      </w:pPr>
      <w:r w:rsidRPr="003A1BAF">
        <w:rPr>
          <w:szCs w:val="24"/>
        </w:rPr>
        <w:t xml:space="preserve">On April 6, 2010, Lime exchanged the completed screenplay for her </w:t>
      </w:r>
      <w:r w:rsidR="005E1E80" w:rsidRPr="003A1BAF">
        <w:rPr>
          <w:szCs w:val="24"/>
        </w:rPr>
        <w:t xml:space="preserve">$6,000 check and signed a written “Work-Made-For-Hire” </w:t>
      </w:r>
      <w:r w:rsidRPr="003A1BAF">
        <w:rPr>
          <w:szCs w:val="24"/>
        </w:rPr>
        <w:t>contract</w:t>
      </w:r>
      <w:r w:rsidR="00962632" w:rsidRPr="003A1BAF">
        <w:rPr>
          <w:szCs w:val="24"/>
        </w:rPr>
        <w:t xml:space="preserve"> in the Plaintiff’s office building</w:t>
      </w:r>
      <w:r w:rsidR="00C6121E">
        <w:rPr>
          <w:szCs w:val="24"/>
        </w:rPr>
        <w:t>.</w:t>
      </w:r>
      <w:r w:rsidR="005E1E80" w:rsidRPr="003A1BAF">
        <w:rPr>
          <w:szCs w:val="24"/>
        </w:rPr>
        <w:t xml:space="preserve"> </w:t>
      </w:r>
      <w:proofErr w:type="gramStart"/>
      <w:r w:rsidR="00CF2CF1">
        <w:rPr>
          <w:szCs w:val="24"/>
        </w:rPr>
        <w:t>(</w:t>
      </w:r>
      <w:proofErr w:type="spellStart"/>
      <w:r w:rsidR="00CF2CF1">
        <w:rPr>
          <w:szCs w:val="24"/>
        </w:rPr>
        <w:t>Compl</w:t>
      </w:r>
      <w:proofErr w:type="spellEnd"/>
      <w:r w:rsidR="00CF2CF1">
        <w:rPr>
          <w:szCs w:val="24"/>
        </w:rPr>
        <w:t>. ¶ 24).</w:t>
      </w:r>
      <w:proofErr w:type="gramEnd"/>
    </w:p>
    <w:p w14:paraId="317D8AFA" w14:textId="77777777" w:rsidR="0056737E" w:rsidRPr="003A1BAF" w:rsidRDefault="0056737E" w:rsidP="0056737E">
      <w:pPr>
        <w:pStyle w:val="BodyText"/>
        <w:spacing w:line="480" w:lineRule="auto"/>
        <w:ind w:firstLine="720"/>
        <w:jc w:val="left"/>
        <w:rPr>
          <w:szCs w:val="24"/>
        </w:rPr>
      </w:pPr>
      <w:r w:rsidRPr="003A1BAF">
        <w:rPr>
          <w:szCs w:val="24"/>
        </w:rPr>
        <w:t>Stated in its entirety, the following is the “Work-Made-For-Hire-Agreement” signed by Lime: “I understand and agree that I have prepared the screenplay ‘Anticipatory Repudiation,’ as a work made for hire under the federal Copyright Act of 1976. Pursuant to this law, OGS TV is the author of this screenplay.”</w:t>
      </w:r>
      <w:r w:rsidR="00CF2CF1">
        <w:rPr>
          <w:szCs w:val="24"/>
        </w:rPr>
        <w:t xml:space="preserve"> </w:t>
      </w:r>
      <w:proofErr w:type="gramStart"/>
      <w:r w:rsidR="00CF2CF1">
        <w:rPr>
          <w:szCs w:val="24"/>
        </w:rPr>
        <w:t>(</w:t>
      </w:r>
      <w:proofErr w:type="spellStart"/>
      <w:r w:rsidR="00CF2CF1">
        <w:rPr>
          <w:szCs w:val="24"/>
        </w:rPr>
        <w:t>Compl</w:t>
      </w:r>
      <w:proofErr w:type="spellEnd"/>
      <w:r w:rsidR="00CF2CF1">
        <w:rPr>
          <w:szCs w:val="24"/>
        </w:rPr>
        <w:t>. ¶ 24).</w:t>
      </w:r>
      <w:proofErr w:type="gramEnd"/>
    </w:p>
    <w:p w14:paraId="384965FF" w14:textId="77777777" w:rsidR="00CF2CF1" w:rsidRDefault="0056737E" w:rsidP="0056737E">
      <w:pPr>
        <w:pStyle w:val="BodyText"/>
        <w:spacing w:line="480" w:lineRule="auto"/>
        <w:ind w:firstLine="720"/>
        <w:jc w:val="left"/>
        <w:rPr>
          <w:szCs w:val="24"/>
        </w:rPr>
      </w:pPr>
      <w:r w:rsidRPr="003A1BAF">
        <w:rPr>
          <w:szCs w:val="24"/>
        </w:rPr>
        <w:t xml:space="preserve">After obtaining </w:t>
      </w:r>
      <w:r w:rsidR="00CF2CF1">
        <w:rPr>
          <w:szCs w:val="24"/>
        </w:rPr>
        <w:t xml:space="preserve">Lime’s signature, </w:t>
      </w:r>
      <w:r w:rsidRPr="003A1BAF">
        <w:rPr>
          <w:szCs w:val="24"/>
        </w:rPr>
        <w:t>Nelson signed the “Work-Made-For-Hire Agreement” that same day, whic</w:t>
      </w:r>
      <w:r w:rsidR="003E1281" w:rsidRPr="003A1BAF">
        <w:rPr>
          <w:szCs w:val="24"/>
        </w:rPr>
        <w:t>h completed the signed contra</w:t>
      </w:r>
      <w:r w:rsidR="00C6121E">
        <w:rPr>
          <w:szCs w:val="24"/>
        </w:rPr>
        <w:t>ct according to the controlling</w:t>
      </w:r>
      <w:r w:rsidR="00007363">
        <w:rPr>
          <w:szCs w:val="24"/>
        </w:rPr>
        <w:t xml:space="preserve"> statute</w:t>
      </w:r>
      <w:r w:rsidR="00C6121E">
        <w:rPr>
          <w:szCs w:val="24"/>
        </w:rPr>
        <w:t>.</w:t>
      </w:r>
      <w:r w:rsidRPr="003A1BAF">
        <w:rPr>
          <w:szCs w:val="24"/>
        </w:rPr>
        <w:t xml:space="preserve"> </w:t>
      </w:r>
      <w:proofErr w:type="gramStart"/>
      <w:r w:rsidR="00CF2CF1">
        <w:rPr>
          <w:szCs w:val="24"/>
        </w:rPr>
        <w:t>(</w:t>
      </w:r>
      <w:proofErr w:type="spellStart"/>
      <w:r w:rsidR="00CF2CF1">
        <w:rPr>
          <w:szCs w:val="24"/>
        </w:rPr>
        <w:t>Compl</w:t>
      </w:r>
      <w:proofErr w:type="spellEnd"/>
      <w:r w:rsidR="00CF2CF1">
        <w:rPr>
          <w:szCs w:val="24"/>
        </w:rPr>
        <w:t xml:space="preserve">. </w:t>
      </w:r>
      <w:r w:rsidRPr="003A1BAF">
        <w:rPr>
          <w:szCs w:val="24"/>
        </w:rPr>
        <w:t>¶ 25</w:t>
      </w:r>
      <w:r w:rsidR="00CF2CF1">
        <w:rPr>
          <w:szCs w:val="24"/>
        </w:rPr>
        <w:t>)</w:t>
      </w:r>
      <w:r w:rsidRPr="003A1BAF">
        <w:rPr>
          <w:szCs w:val="24"/>
        </w:rPr>
        <w:t>.</w:t>
      </w:r>
      <w:proofErr w:type="gramEnd"/>
      <w:r w:rsidRPr="003A1BAF">
        <w:rPr>
          <w:szCs w:val="24"/>
        </w:rPr>
        <w:t xml:space="preserve"> </w:t>
      </w:r>
      <w:r w:rsidR="00F8411F">
        <w:rPr>
          <w:szCs w:val="24"/>
        </w:rPr>
        <w:t xml:space="preserve">Plaintiff decided not to use the “Anticipatory Repudiation” screenplay for </w:t>
      </w:r>
      <w:r w:rsidR="00F8411F" w:rsidRPr="00F8411F">
        <w:rPr>
          <w:i/>
          <w:szCs w:val="24"/>
        </w:rPr>
        <w:t>Lawless Love</w:t>
      </w:r>
      <w:r w:rsidR="00C6121E">
        <w:rPr>
          <w:szCs w:val="24"/>
        </w:rPr>
        <w:t>.</w:t>
      </w:r>
      <w:r w:rsidR="00F8411F">
        <w:rPr>
          <w:szCs w:val="24"/>
        </w:rPr>
        <w:t xml:space="preserve"> </w:t>
      </w:r>
      <w:proofErr w:type="gramStart"/>
      <w:r w:rsidR="00F8411F">
        <w:rPr>
          <w:szCs w:val="24"/>
        </w:rPr>
        <w:t>(</w:t>
      </w:r>
      <w:proofErr w:type="spellStart"/>
      <w:r w:rsidR="00F8411F">
        <w:rPr>
          <w:szCs w:val="24"/>
        </w:rPr>
        <w:t>Compl</w:t>
      </w:r>
      <w:proofErr w:type="spellEnd"/>
      <w:r w:rsidR="00F8411F">
        <w:rPr>
          <w:szCs w:val="24"/>
        </w:rPr>
        <w:t>. ¶ 26)</w:t>
      </w:r>
      <w:r w:rsidR="00F8411F" w:rsidRPr="003A1BAF">
        <w:rPr>
          <w:szCs w:val="24"/>
        </w:rPr>
        <w:t>.</w:t>
      </w:r>
      <w:proofErr w:type="gramEnd"/>
      <w:r w:rsidR="001D2BAB">
        <w:rPr>
          <w:szCs w:val="24"/>
        </w:rPr>
        <w:t xml:space="preserve"> Although the screenplay never aired, Plaintiff retained its exclusive copyright as the owner of the work</w:t>
      </w:r>
      <w:r w:rsidR="00C6121E">
        <w:rPr>
          <w:szCs w:val="24"/>
        </w:rPr>
        <w:t>.</w:t>
      </w:r>
      <w:r w:rsidR="001D2BAB">
        <w:rPr>
          <w:szCs w:val="24"/>
        </w:rPr>
        <w:t xml:space="preserve"> </w:t>
      </w:r>
      <w:proofErr w:type="gramStart"/>
      <w:r w:rsidR="001D2BAB">
        <w:rPr>
          <w:szCs w:val="24"/>
        </w:rPr>
        <w:t>(</w:t>
      </w:r>
      <w:proofErr w:type="spellStart"/>
      <w:r w:rsidR="001D2BAB">
        <w:rPr>
          <w:szCs w:val="24"/>
        </w:rPr>
        <w:t>Compl</w:t>
      </w:r>
      <w:proofErr w:type="spellEnd"/>
      <w:r w:rsidR="001D2BAB">
        <w:rPr>
          <w:szCs w:val="24"/>
        </w:rPr>
        <w:t>. ¶ 23)</w:t>
      </w:r>
      <w:r w:rsidR="001D2BAB" w:rsidRPr="003A1BAF">
        <w:rPr>
          <w:szCs w:val="24"/>
        </w:rPr>
        <w:t>.</w:t>
      </w:r>
      <w:proofErr w:type="gramEnd"/>
    </w:p>
    <w:p w14:paraId="72DAC4EB" w14:textId="77777777" w:rsidR="001D2BAB" w:rsidRDefault="001D2BAB" w:rsidP="0056737E">
      <w:pPr>
        <w:pStyle w:val="BodyText"/>
        <w:spacing w:line="480" w:lineRule="auto"/>
        <w:ind w:firstLine="720"/>
        <w:jc w:val="left"/>
        <w:rPr>
          <w:szCs w:val="24"/>
        </w:rPr>
      </w:pPr>
      <w:r>
        <w:rPr>
          <w:szCs w:val="24"/>
        </w:rPr>
        <w:t xml:space="preserve">In August 2010, Defendants created a screenplay titled “The Love Below” for a new TV series, </w:t>
      </w:r>
      <w:r w:rsidRPr="001D2BAB">
        <w:rPr>
          <w:i/>
          <w:szCs w:val="24"/>
        </w:rPr>
        <w:t>The Tin Can</w:t>
      </w:r>
      <w:r w:rsidR="00C6121E">
        <w:rPr>
          <w:szCs w:val="24"/>
        </w:rPr>
        <w:t>.</w:t>
      </w:r>
      <w:r>
        <w:rPr>
          <w:szCs w:val="24"/>
        </w:rPr>
        <w:t xml:space="preserve"> (</w:t>
      </w:r>
      <w:proofErr w:type="spellStart"/>
      <w:r>
        <w:rPr>
          <w:szCs w:val="24"/>
        </w:rPr>
        <w:t>Compl</w:t>
      </w:r>
      <w:proofErr w:type="spellEnd"/>
      <w:r>
        <w:rPr>
          <w:szCs w:val="24"/>
        </w:rPr>
        <w:t>. ¶ 28)</w:t>
      </w:r>
      <w:r w:rsidRPr="003A1BAF">
        <w:rPr>
          <w:szCs w:val="24"/>
        </w:rPr>
        <w:t>.</w:t>
      </w:r>
      <w:r>
        <w:rPr>
          <w:szCs w:val="24"/>
        </w:rPr>
        <w:t xml:space="preserve"> “The Love Below” copies substantially from Plaintiff’s </w:t>
      </w:r>
      <w:r>
        <w:rPr>
          <w:szCs w:val="24"/>
        </w:rPr>
        <w:lastRenderedPageBreak/>
        <w:t xml:space="preserve">copyrighted screenplay, “Anticipatory Repudiation.” </w:t>
      </w:r>
      <w:proofErr w:type="gramStart"/>
      <w:r>
        <w:rPr>
          <w:szCs w:val="24"/>
        </w:rPr>
        <w:t>(</w:t>
      </w:r>
      <w:proofErr w:type="spellStart"/>
      <w:r>
        <w:rPr>
          <w:szCs w:val="24"/>
        </w:rPr>
        <w:t>Compl</w:t>
      </w:r>
      <w:proofErr w:type="spellEnd"/>
      <w:r>
        <w:rPr>
          <w:szCs w:val="24"/>
        </w:rPr>
        <w:t>. ¶ 28)</w:t>
      </w:r>
      <w:r w:rsidRPr="003A1BAF">
        <w:rPr>
          <w:szCs w:val="24"/>
        </w:rPr>
        <w:t>.</w:t>
      </w:r>
      <w:proofErr w:type="gramEnd"/>
      <w:r>
        <w:rPr>
          <w:szCs w:val="24"/>
        </w:rPr>
        <w:t xml:space="preserve"> Both screenplays include identical dialogue, characters, and storylines. </w:t>
      </w:r>
      <w:proofErr w:type="gramStart"/>
      <w:r>
        <w:rPr>
          <w:szCs w:val="24"/>
        </w:rPr>
        <w:t>(</w:t>
      </w:r>
      <w:proofErr w:type="spellStart"/>
      <w:r>
        <w:rPr>
          <w:szCs w:val="24"/>
        </w:rPr>
        <w:t>Compl</w:t>
      </w:r>
      <w:proofErr w:type="spellEnd"/>
      <w:r>
        <w:rPr>
          <w:szCs w:val="24"/>
        </w:rPr>
        <w:t>. ¶ 31)</w:t>
      </w:r>
      <w:r w:rsidRPr="003A1BAF">
        <w:rPr>
          <w:szCs w:val="24"/>
        </w:rPr>
        <w:t>.</w:t>
      </w:r>
      <w:proofErr w:type="gramEnd"/>
      <w:r>
        <w:rPr>
          <w:szCs w:val="24"/>
        </w:rPr>
        <w:t xml:space="preserve"> Plaintiff never consented to the copying of its copyrighted material for Defendants’ use in “The Love Below.” </w:t>
      </w:r>
      <w:proofErr w:type="gramStart"/>
      <w:r>
        <w:rPr>
          <w:szCs w:val="24"/>
        </w:rPr>
        <w:t>(</w:t>
      </w:r>
      <w:proofErr w:type="spellStart"/>
      <w:r>
        <w:rPr>
          <w:szCs w:val="24"/>
        </w:rPr>
        <w:t>Compl</w:t>
      </w:r>
      <w:proofErr w:type="spellEnd"/>
      <w:r>
        <w:rPr>
          <w:szCs w:val="24"/>
        </w:rPr>
        <w:t>. ¶ 28)</w:t>
      </w:r>
      <w:r w:rsidRPr="003A1BAF">
        <w:rPr>
          <w:szCs w:val="24"/>
        </w:rPr>
        <w:t>.</w:t>
      </w:r>
      <w:proofErr w:type="gramEnd"/>
    </w:p>
    <w:p w14:paraId="4DC1710B" w14:textId="77777777" w:rsidR="008802BC" w:rsidRDefault="008802BC" w:rsidP="0056737E">
      <w:pPr>
        <w:pStyle w:val="BodyText"/>
        <w:spacing w:line="480" w:lineRule="auto"/>
        <w:ind w:firstLine="720"/>
        <w:jc w:val="left"/>
        <w:rPr>
          <w:szCs w:val="24"/>
        </w:rPr>
      </w:pPr>
      <w:r>
        <w:rPr>
          <w:szCs w:val="24"/>
        </w:rPr>
        <w:t xml:space="preserve">Defendants aired “The Love Below” on television for profit. </w:t>
      </w:r>
      <w:proofErr w:type="gramStart"/>
      <w:r>
        <w:rPr>
          <w:szCs w:val="24"/>
        </w:rPr>
        <w:t>(</w:t>
      </w:r>
      <w:proofErr w:type="spellStart"/>
      <w:r>
        <w:rPr>
          <w:szCs w:val="24"/>
        </w:rPr>
        <w:t>Compl</w:t>
      </w:r>
      <w:proofErr w:type="spellEnd"/>
      <w:r>
        <w:rPr>
          <w:szCs w:val="24"/>
        </w:rPr>
        <w:t>. ¶ 29)</w:t>
      </w:r>
      <w:r w:rsidRPr="003A1BAF">
        <w:rPr>
          <w:szCs w:val="24"/>
        </w:rPr>
        <w:t>.</w:t>
      </w:r>
      <w:proofErr w:type="gramEnd"/>
      <w:r>
        <w:rPr>
          <w:szCs w:val="24"/>
        </w:rPr>
        <w:t xml:space="preserve"> Defendants’ actions harmed Plaintiff</w:t>
      </w:r>
      <w:r w:rsidR="0059132D">
        <w:rPr>
          <w:szCs w:val="24"/>
        </w:rPr>
        <w:t xml:space="preserve"> because of lost advertising revenue and decreased value of Plaintiff’s copyrighted material, “Repudiated Love.”</w:t>
      </w:r>
      <w:r>
        <w:rPr>
          <w:szCs w:val="24"/>
        </w:rPr>
        <w:t xml:space="preserve"> </w:t>
      </w:r>
      <w:proofErr w:type="gramStart"/>
      <w:r w:rsidR="0059132D">
        <w:rPr>
          <w:szCs w:val="24"/>
        </w:rPr>
        <w:t>(</w:t>
      </w:r>
      <w:proofErr w:type="spellStart"/>
      <w:r w:rsidR="0059132D">
        <w:rPr>
          <w:szCs w:val="24"/>
        </w:rPr>
        <w:t>Compl</w:t>
      </w:r>
      <w:proofErr w:type="spellEnd"/>
      <w:r w:rsidR="0059132D">
        <w:rPr>
          <w:szCs w:val="24"/>
        </w:rPr>
        <w:t>. ¶ 30)</w:t>
      </w:r>
      <w:r w:rsidR="0059132D" w:rsidRPr="003A1BAF">
        <w:rPr>
          <w:szCs w:val="24"/>
        </w:rPr>
        <w:t>.</w:t>
      </w:r>
      <w:proofErr w:type="gramEnd"/>
      <w:r w:rsidR="0059132D">
        <w:rPr>
          <w:szCs w:val="24"/>
        </w:rPr>
        <w:t xml:space="preserve"> </w:t>
      </w:r>
      <w:r>
        <w:rPr>
          <w:szCs w:val="24"/>
        </w:rPr>
        <w:t>Plaintiff seeks $86,000 in damages</w:t>
      </w:r>
      <w:r w:rsidR="0059132D">
        <w:rPr>
          <w:szCs w:val="24"/>
        </w:rPr>
        <w:t xml:space="preserve">. </w:t>
      </w:r>
      <w:proofErr w:type="gramStart"/>
      <w:r w:rsidR="0059132D">
        <w:rPr>
          <w:szCs w:val="24"/>
        </w:rPr>
        <w:t>(</w:t>
      </w:r>
      <w:proofErr w:type="spellStart"/>
      <w:r w:rsidR="0059132D">
        <w:rPr>
          <w:szCs w:val="24"/>
        </w:rPr>
        <w:t>Compl</w:t>
      </w:r>
      <w:proofErr w:type="spellEnd"/>
      <w:r w:rsidR="0059132D">
        <w:rPr>
          <w:szCs w:val="24"/>
        </w:rPr>
        <w:t>. ¶ 30)</w:t>
      </w:r>
      <w:r w:rsidR="0059132D" w:rsidRPr="003A1BAF">
        <w:rPr>
          <w:szCs w:val="24"/>
        </w:rPr>
        <w:t>.</w:t>
      </w:r>
      <w:proofErr w:type="gramEnd"/>
    </w:p>
    <w:p w14:paraId="111A8EA3" w14:textId="77777777" w:rsidR="005E6D42" w:rsidRPr="003A1BAF" w:rsidRDefault="005E6D42" w:rsidP="0056737E">
      <w:pPr>
        <w:pStyle w:val="BodyText"/>
        <w:spacing w:line="480" w:lineRule="auto"/>
        <w:ind w:firstLine="720"/>
        <w:jc w:val="left"/>
        <w:rPr>
          <w:szCs w:val="24"/>
        </w:rPr>
      </w:pPr>
    </w:p>
    <w:p w14:paraId="42DEBC4F" w14:textId="77777777" w:rsidR="00571E10" w:rsidRPr="003A1BAF" w:rsidRDefault="00571E10" w:rsidP="00484659">
      <w:pPr>
        <w:pStyle w:val="Heading2"/>
        <w:jc w:val="left"/>
        <w:rPr>
          <w:b w:val="0"/>
          <w:szCs w:val="24"/>
        </w:rPr>
      </w:pPr>
    </w:p>
    <w:p w14:paraId="75EB0C45" w14:textId="77777777" w:rsidR="00676F5E" w:rsidRPr="003A1BAF" w:rsidRDefault="005E1E80" w:rsidP="007F38EB">
      <w:pPr>
        <w:pStyle w:val="Heading2"/>
        <w:rPr>
          <w:szCs w:val="24"/>
        </w:rPr>
      </w:pPr>
      <w:r w:rsidRPr="003A1BAF">
        <w:rPr>
          <w:szCs w:val="24"/>
        </w:rPr>
        <w:t xml:space="preserve">III. </w:t>
      </w:r>
      <w:r w:rsidR="00676F5E" w:rsidRPr="003A1BAF">
        <w:rPr>
          <w:szCs w:val="24"/>
        </w:rPr>
        <w:t>ARGUMENT</w:t>
      </w:r>
      <w:r w:rsidRPr="003A1BAF">
        <w:rPr>
          <w:szCs w:val="24"/>
        </w:rPr>
        <w:t xml:space="preserve">: </w:t>
      </w:r>
      <w:r w:rsidR="00571E10" w:rsidRPr="003A1BAF">
        <w:rPr>
          <w:szCs w:val="24"/>
          <w:u w:val="single"/>
        </w:rPr>
        <w:t>Plaintiff Has a Valid Claim under the Copyright Act of 1976</w:t>
      </w:r>
    </w:p>
    <w:p w14:paraId="5542B0A5" w14:textId="77777777" w:rsidR="00676F5E" w:rsidRPr="003A1BAF" w:rsidRDefault="00676F5E" w:rsidP="007F38EB">
      <w:pPr>
        <w:jc w:val="center"/>
        <w:rPr>
          <w:rFonts w:ascii="Times New Roman" w:hAnsi="Times New Roman" w:cs="Times New Roman"/>
          <w:sz w:val="24"/>
          <w:szCs w:val="24"/>
        </w:rPr>
      </w:pPr>
    </w:p>
    <w:p w14:paraId="7A7F9443" w14:textId="77777777" w:rsidR="003A1BAF" w:rsidRPr="00D1118F" w:rsidRDefault="003A1BAF" w:rsidP="00484659">
      <w:pPr>
        <w:rPr>
          <w:rFonts w:ascii="Times New Roman" w:hAnsi="Times New Roman" w:cs="Times New Roman"/>
          <w:b/>
          <w:sz w:val="24"/>
          <w:szCs w:val="24"/>
        </w:rPr>
      </w:pPr>
      <w:r w:rsidRPr="00D1118F">
        <w:rPr>
          <w:rFonts w:ascii="Times New Roman" w:hAnsi="Times New Roman" w:cs="Times New Roman"/>
          <w:b/>
          <w:sz w:val="24"/>
          <w:szCs w:val="24"/>
        </w:rPr>
        <w:t>A. The plain meaning of the C</w:t>
      </w:r>
      <w:r w:rsidR="00007363">
        <w:rPr>
          <w:rFonts w:ascii="Times New Roman" w:hAnsi="Times New Roman" w:cs="Times New Roman"/>
          <w:b/>
          <w:sz w:val="24"/>
          <w:szCs w:val="24"/>
        </w:rPr>
        <w:t xml:space="preserve">opyright Act of 1976 favors Plaintiff </w:t>
      </w:r>
      <w:r w:rsidR="00D1118F" w:rsidRPr="00D1118F">
        <w:rPr>
          <w:rFonts w:ascii="Times New Roman" w:hAnsi="Times New Roman" w:cs="Times New Roman"/>
          <w:b/>
          <w:sz w:val="24"/>
          <w:szCs w:val="24"/>
        </w:rPr>
        <w:t>because the disputed contract me</w:t>
      </w:r>
      <w:r w:rsidR="00007363">
        <w:rPr>
          <w:rFonts w:ascii="Times New Roman" w:hAnsi="Times New Roman" w:cs="Times New Roman"/>
          <w:b/>
          <w:sz w:val="24"/>
          <w:szCs w:val="24"/>
        </w:rPr>
        <w:t>ets every requirement expressly</w:t>
      </w:r>
      <w:r w:rsidR="00D1118F" w:rsidRPr="00D1118F">
        <w:rPr>
          <w:rFonts w:ascii="Times New Roman" w:hAnsi="Times New Roman" w:cs="Times New Roman"/>
          <w:b/>
          <w:sz w:val="24"/>
          <w:szCs w:val="24"/>
        </w:rPr>
        <w:t xml:space="preserve"> listed in the statute.</w:t>
      </w:r>
    </w:p>
    <w:p w14:paraId="0B67C4E1" w14:textId="77777777" w:rsidR="001C345C" w:rsidRDefault="005A4B75" w:rsidP="003A1BAF">
      <w:pPr>
        <w:pStyle w:val="BodyText"/>
        <w:spacing w:line="480" w:lineRule="auto"/>
        <w:ind w:firstLine="720"/>
        <w:jc w:val="left"/>
        <w:rPr>
          <w:szCs w:val="24"/>
        </w:rPr>
      </w:pPr>
      <w:r>
        <w:rPr>
          <w:szCs w:val="24"/>
        </w:rPr>
        <w:t>The contract in dispute</w:t>
      </w:r>
      <w:r w:rsidR="003A1BAF" w:rsidRPr="003A1BAF">
        <w:rPr>
          <w:szCs w:val="24"/>
        </w:rPr>
        <w:t xml:space="preserve"> meets all the requirements set forth in the statute’s plain meaning. </w:t>
      </w:r>
      <w:r w:rsidR="007F19F5">
        <w:rPr>
          <w:szCs w:val="24"/>
        </w:rPr>
        <w:t>When the statutory language is straightforward, the Court must defer to the statute</w:t>
      </w:r>
      <w:r>
        <w:rPr>
          <w:szCs w:val="24"/>
        </w:rPr>
        <w:t>’s plain meaning as</w:t>
      </w:r>
      <w:r w:rsidR="007F19F5">
        <w:rPr>
          <w:szCs w:val="24"/>
        </w:rPr>
        <w:t xml:space="preserve"> its interpretation of the legal issue. </w:t>
      </w:r>
      <w:proofErr w:type="gramStart"/>
      <w:r w:rsidR="007F19F5" w:rsidRPr="007F19F5">
        <w:rPr>
          <w:i/>
          <w:szCs w:val="24"/>
        </w:rPr>
        <w:t>Greenwood v. U.S.</w:t>
      </w:r>
      <w:r w:rsidR="007F19F5">
        <w:rPr>
          <w:szCs w:val="24"/>
        </w:rPr>
        <w:t>, 350 U.S. 366, 374 (1956).</w:t>
      </w:r>
      <w:proofErr w:type="gramEnd"/>
      <w:r w:rsidR="007F19F5">
        <w:rPr>
          <w:szCs w:val="24"/>
        </w:rPr>
        <w:t xml:space="preserve"> </w:t>
      </w:r>
      <w:r w:rsidR="003A1BAF" w:rsidRPr="003A1BAF">
        <w:rPr>
          <w:szCs w:val="24"/>
        </w:rPr>
        <w:t xml:space="preserve">First, Plaintiff commissioned the </w:t>
      </w:r>
      <w:r w:rsidR="001C345C">
        <w:rPr>
          <w:szCs w:val="24"/>
        </w:rPr>
        <w:t>work, so it falls under §101(2), which reads</w:t>
      </w:r>
      <w:r w:rsidR="007F19F5">
        <w:rPr>
          <w:szCs w:val="24"/>
        </w:rPr>
        <w:t>,</w:t>
      </w:r>
    </w:p>
    <w:p w14:paraId="26F8AD01" w14:textId="77777777" w:rsidR="001C345C" w:rsidRDefault="001C345C" w:rsidP="001C345C">
      <w:pPr>
        <w:pStyle w:val="BodyText"/>
        <w:ind w:left="720"/>
        <w:jc w:val="left"/>
      </w:pPr>
      <w:r>
        <w:t xml:space="preserve">A work specially ordered or commissioned for use as a contribution to a collective work, as a part of a motion picture or other audiovisual work, as a translation, as a supplementary work, as a compilation, as an instructional text, as a test, as answer material for a test, or as an atlas, if the parties expressly agree in a written instrument signed by them that the work shall </w:t>
      </w:r>
      <w:r w:rsidR="007F19F5">
        <w:t>be considered a work for hire.</w:t>
      </w:r>
    </w:p>
    <w:p w14:paraId="2D11BADC" w14:textId="77777777" w:rsidR="001C345C" w:rsidRDefault="001C345C" w:rsidP="001C345C">
      <w:pPr>
        <w:pStyle w:val="BodyText"/>
        <w:ind w:left="720"/>
        <w:jc w:val="left"/>
      </w:pPr>
      <w:r>
        <w:t>Copyright Act of 1976</w:t>
      </w:r>
      <w:r w:rsidR="00007363">
        <w:t>,</w:t>
      </w:r>
      <w:r>
        <w:t xml:space="preserve"> 17 U.S.C. §101(2) (1976).</w:t>
      </w:r>
    </w:p>
    <w:p w14:paraId="1C3A45F1" w14:textId="77777777" w:rsidR="001C345C" w:rsidRDefault="001C345C" w:rsidP="001C345C">
      <w:pPr>
        <w:pStyle w:val="BodyText"/>
        <w:spacing w:line="480" w:lineRule="auto"/>
        <w:jc w:val="left"/>
        <w:rPr>
          <w:szCs w:val="24"/>
        </w:rPr>
      </w:pPr>
    </w:p>
    <w:p w14:paraId="0299F4FD" w14:textId="77777777" w:rsidR="003A1BAF" w:rsidRPr="003A1BAF" w:rsidRDefault="003A1BAF" w:rsidP="001C345C">
      <w:pPr>
        <w:pStyle w:val="BodyText"/>
        <w:spacing w:line="480" w:lineRule="auto"/>
        <w:ind w:firstLine="720"/>
        <w:jc w:val="left"/>
        <w:rPr>
          <w:szCs w:val="24"/>
        </w:rPr>
      </w:pPr>
      <w:r w:rsidRPr="003A1BAF">
        <w:rPr>
          <w:szCs w:val="24"/>
        </w:rPr>
        <w:t xml:space="preserve">Second, the screenplay at issue qualifies as a collective work and as part of a motion picture, so the </w:t>
      </w:r>
      <w:r w:rsidR="00F72192">
        <w:rPr>
          <w:szCs w:val="24"/>
        </w:rPr>
        <w:t xml:space="preserve">screenplay </w:t>
      </w:r>
      <w:r w:rsidRPr="003A1BAF">
        <w:rPr>
          <w:szCs w:val="24"/>
        </w:rPr>
        <w:t>meets the intellectual property requirement. Third, both parties signed the written agreement stating the contract was a “work made for hire.” Therefore, under the requirements listed in the definition of the Copyright Act o</w:t>
      </w:r>
      <w:r w:rsidR="007F19F5">
        <w:rPr>
          <w:szCs w:val="24"/>
        </w:rPr>
        <w:t xml:space="preserve">f 1976, Plaintiff and </w:t>
      </w:r>
      <w:r w:rsidRPr="003A1BAF">
        <w:rPr>
          <w:szCs w:val="24"/>
        </w:rPr>
        <w:t xml:space="preserve">Lime entered into </w:t>
      </w:r>
      <w:r w:rsidRPr="003A1BAF">
        <w:rPr>
          <w:szCs w:val="24"/>
        </w:rPr>
        <w:lastRenderedPageBreak/>
        <w:t>a binding, written “</w:t>
      </w:r>
      <w:r w:rsidR="005A4B75">
        <w:rPr>
          <w:szCs w:val="24"/>
        </w:rPr>
        <w:t>work for</w:t>
      </w:r>
      <w:r w:rsidR="00007363">
        <w:rPr>
          <w:szCs w:val="24"/>
        </w:rPr>
        <w:t xml:space="preserve"> made</w:t>
      </w:r>
      <w:r w:rsidR="005A4B75">
        <w:rPr>
          <w:szCs w:val="24"/>
        </w:rPr>
        <w:t xml:space="preserve"> hire</w:t>
      </w:r>
      <w:r w:rsidRPr="003A1BAF">
        <w:rPr>
          <w:szCs w:val="24"/>
        </w:rPr>
        <w:t>” contract on April 6, 2010.</w:t>
      </w:r>
    </w:p>
    <w:p w14:paraId="6758377E" w14:textId="77777777" w:rsidR="003A1BAF" w:rsidRDefault="003A1BAF" w:rsidP="003A1BAF">
      <w:pPr>
        <w:spacing w:line="480" w:lineRule="auto"/>
        <w:ind w:firstLine="720"/>
        <w:rPr>
          <w:rFonts w:ascii="Times New Roman" w:hAnsi="Times New Roman" w:cs="Times New Roman"/>
          <w:sz w:val="24"/>
          <w:szCs w:val="24"/>
        </w:rPr>
      </w:pPr>
      <w:r>
        <w:rPr>
          <w:rFonts w:ascii="Times New Roman" w:hAnsi="Times New Roman" w:cs="Times New Roman"/>
          <w:sz w:val="24"/>
          <w:szCs w:val="24"/>
        </w:rPr>
        <w:t>Defendants claim t</w:t>
      </w:r>
      <w:r w:rsidRPr="003A1BAF">
        <w:rPr>
          <w:rFonts w:ascii="Times New Roman" w:hAnsi="Times New Roman" w:cs="Times New Roman"/>
          <w:sz w:val="24"/>
          <w:szCs w:val="24"/>
        </w:rPr>
        <w:t>he dispute arises from the timing of the written agreement</w:t>
      </w:r>
      <w:r w:rsidR="00D1118F">
        <w:rPr>
          <w:rFonts w:ascii="Times New Roman" w:hAnsi="Times New Roman" w:cs="Times New Roman"/>
          <w:sz w:val="24"/>
          <w:szCs w:val="24"/>
        </w:rPr>
        <w:t xml:space="preserve"> because the parties signed the contract after Lime created the screenplay. </w:t>
      </w:r>
      <w:r w:rsidR="007F19F5">
        <w:rPr>
          <w:rFonts w:ascii="Times New Roman" w:hAnsi="Times New Roman" w:cs="Times New Roman"/>
          <w:sz w:val="24"/>
          <w:szCs w:val="24"/>
        </w:rPr>
        <w:t>Defendants now assert</w:t>
      </w:r>
      <w:r w:rsidRPr="003A1BAF">
        <w:rPr>
          <w:rFonts w:ascii="Times New Roman" w:hAnsi="Times New Roman" w:cs="Times New Roman"/>
          <w:sz w:val="24"/>
          <w:szCs w:val="24"/>
        </w:rPr>
        <w:t xml:space="preserve"> the writing must precede the creation of the work, which would invalidate the “Work-Made-</w:t>
      </w:r>
      <w:r w:rsidR="007F19F5">
        <w:rPr>
          <w:rFonts w:ascii="Times New Roman" w:hAnsi="Times New Roman" w:cs="Times New Roman"/>
          <w:sz w:val="24"/>
          <w:szCs w:val="24"/>
        </w:rPr>
        <w:t>For-Hire” Agreement and vest the copyright in</w:t>
      </w:r>
      <w:r w:rsidR="00D1118F">
        <w:rPr>
          <w:rFonts w:ascii="Times New Roman" w:hAnsi="Times New Roman" w:cs="Times New Roman"/>
          <w:sz w:val="24"/>
          <w:szCs w:val="24"/>
        </w:rPr>
        <w:t xml:space="preserve"> </w:t>
      </w:r>
      <w:r w:rsidRPr="003A1BAF">
        <w:rPr>
          <w:rFonts w:ascii="Times New Roman" w:hAnsi="Times New Roman" w:cs="Times New Roman"/>
          <w:sz w:val="24"/>
          <w:szCs w:val="24"/>
        </w:rPr>
        <w:t>Lime.</w:t>
      </w:r>
      <w:r w:rsidR="00D1118F">
        <w:rPr>
          <w:rFonts w:ascii="Times New Roman" w:hAnsi="Times New Roman" w:cs="Times New Roman"/>
          <w:sz w:val="24"/>
          <w:szCs w:val="24"/>
        </w:rPr>
        <w:t xml:space="preserve"> </w:t>
      </w:r>
      <w:r w:rsidR="00F72192" w:rsidRPr="00955227">
        <w:rPr>
          <w:rFonts w:ascii="Times New Roman" w:hAnsi="Times New Roman" w:cs="Times New Roman"/>
          <w:sz w:val="24"/>
          <w:szCs w:val="24"/>
        </w:rPr>
        <w:t>(</w:t>
      </w:r>
      <w:proofErr w:type="spellStart"/>
      <w:r w:rsidR="00F72192" w:rsidRPr="00955227">
        <w:rPr>
          <w:rFonts w:ascii="Times New Roman" w:hAnsi="Times New Roman" w:cs="Times New Roman"/>
          <w:sz w:val="24"/>
          <w:szCs w:val="24"/>
        </w:rPr>
        <w:t>Defs</w:t>
      </w:r>
      <w:proofErr w:type="spellEnd"/>
      <w:r w:rsidR="00F72192" w:rsidRPr="00955227">
        <w:rPr>
          <w:rFonts w:ascii="Times New Roman" w:hAnsi="Times New Roman" w:cs="Times New Roman"/>
          <w:sz w:val="24"/>
          <w:szCs w:val="24"/>
        </w:rPr>
        <w:t>’. Answer</w:t>
      </w:r>
      <w:r w:rsidR="0084523B" w:rsidRPr="00955227">
        <w:rPr>
          <w:rFonts w:ascii="Times New Roman" w:hAnsi="Times New Roman" w:cs="Times New Roman"/>
          <w:sz w:val="24"/>
          <w:szCs w:val="24"/>
        </w:rPr>
        <w:t xml:space="preserve"> ¶</w:t>
      </w:r>
      <w:r w:rsidR="0084523B" w:rsidRPr="00955227">
        <w:rPr>
          <w:sz w:val="24"/>
          <w:szCs w:val="24"/>
        </w:rPr>
        <w:t xml:space="preserve"> </w:t>
      </w:r>
      <w:r w:rsidR="0084523B" w:rsidRPr="00955227">
        <w:rPr>
          <w:rFonts w:ascii="Times New Roman" w:hAnsi="Times New Roman" w:cs="Times New Roman"/>
          <w:sz w:val="24"/>
          <w:szCs w:val="24"/>
        </w:rPr>
        <w:t xml:space="preserve">3). </w:t>
      </w:r>
      <w:r w:rsidR="00D1118F" w:rsidRPr="0084523B">
        <w:rPr>
          <w:rFonts w:ascii="Times New Roman" w:hAnsi="Times New Roman" w:cs="Times New Roman"/>
          <w:sz w:val="24"/>
          <w:szCs w:val="24"/>
        </w:rPr>
        <w:t>However</w:t>
      </w:r>
      <w:r w:rsidR="00D1118F">
        <w:rPr>
          <w:rFonts w:ascii="Times New Roman" w:hAnsi="Times New Roman" w:cs="Times New Roman"/>
          <w:sz w:val="24"/>
          <w:szCs w:val="24"/>
        </w:rPr>
        <w:t xml:space="preserve">, </w:t>
      </w:r>
      <w:r w:rsidR="00F72192">
        <w:rPr>
          <w:rFonts w:ascii="Times New Roman" w:hAnsi="Times New Roman" w:cs="Times New Roman"/>
          <w:sz w:val="24"/>
          <w:szCs w:val="24"/>
        </w:rPr>
        <w:t xml:space="preserve">language requiring </w:t>
      </w:r>
      <w:r w:rsidR="00D1118F">
        <w:rPr>
          <w:rFonts w:ascii="Times New Roman" w:hAnsi="Times New Roman" w:cs="Times New Roman"/>
          <w:sz w:val="24"/>
          <w:szCs w:val="24"/>
        </w:rPr>
        <w:t xml:space="preserve">the contract to be signed pre-creation </w:t>
      </w:r>
      <w:r w:rsidR="00F72192">
        <w:rPr>
          <w:rFonts w:ascii="Times New Roman" w:hAnsi="Times New Roman" w:cs="Times New Roman"/>
          <w:sz w:val="24"/>
          <w:szCs w:val="24"/>
        </w:rPr>
        <w:t>is not found</w:t>
      </w:r>
      <w:r w:rsidR="00D1118F">
        <w:rPr>
          <w:rFonts w:ascii="Times New Roman" w:hAnsi="Times New Roman" w:cs="Times New Roman"/>
          <w:sz w:val="24"/>
          <w:szCs w:val="24"/>
        </w:rPr>
        <w:t xml:space="preserve"> in the </w:t>
      </w:r>
      <w:r w:rsidR="00F72192">
        <w:rPr>
          <w:rFonts w:ascii="Times New Roman" w:hAnsi="Times New Roman" w:cs="Times New Roman"/>
          <w:sz w:val="24"/>
          <w:szCs w:val="24"/>
        </w:rPr>
        <w:t xml:space="preserve">plain meaning </w:t>
      </w:r>
      <w:r w:rsidR="00D1118F">
        <w:rPr>
          <w:rFonts w:ascii="Times New Roman" w:hAnsi="Times New Roman" w:cs="Times New Roman"/>
          <w:sz w:val="24"/>
          <w:szCs w:val="24"/>
        </w:rPr>
        <w:t xml:space="preserve">of the </w:t>
      </w:r>
      <w:r w:rsidR="00F72192">
        <w:rPr>
          <w:rFonts w:ascii="Times New Roman" w:hAnsi="Times New Roman" w:cs="Times New Roman"/>
          <w:sz w:val="24"/>
          <w:szCs w:val="24"/>
        </w:rPr>
        <w:t>statute</w:t>
      </w:r>
      <w:r w:rsidR="00D1118F">
        <w:rPr>
          <w:rFonts w:ascii="Times New Roman" w:hAnsi="Times New Roman" w:cs="Times New Roman"/>
          <w:sz w:val="24"/>
          <w:szCs w:val="24"/>
        </w:rPr>
        <w:t>.</w:t>
      </w:r>
      <w:r w:rsidR="00007363">
        <w:rPr>
          <w:rFonts w:ascii="Times New Roman" w:hAnsi="Times New Roman" w:cs="Times New Roman"/>
          <w:sz w:val="24"/>
          <w:szCs w:val="24"/>
        </w:rPr>
        <w:t xml:space="preserve"> </w:t>
      </w:r>
      <w:r w:rsidR="00D1118F">
        <w:rPr>
          <w:rFonts w:ascii="Times New Roman" w:hAnsi="Times New Roman" w:cs="Times New Roman"/>
          <w:sz w:val="24"/>
          <w:szCs w:val="24"/>
        </w:rPr>
        <w:t xml:space="preserve"> </w:t>
      </w:r>
      <w:r w:rsidR="00007363">
        <w:rPr>
          <w:rFonts w:ascii="Times New Roman" w:hAnsi="Times New Roman" w:cs="Times New Roman"/>
          <w:sz w:val="24"/>
          <w:szCs w:val="24"/>
        </w:rPr>
        <w:t xml:space="preserve">Copyright Act of 1976, 17 U.S.C. §101(2) (1976). </w:t>
      </w:r>
      <w:r w:rsidR="00D1118F">
        <w:rPr>
          <w:rFonts w:ascii="Times New Roman" w:hAnsi="Times New Roman" w:cs="Times New Roman"/>
          <w:sz w:val="24"/>
          <w:szCs w:val="24"/>
        </w:rPr>
        <w:t>Therefore, the Court should uphold the plain meaning of the Copyright Act and validate “work made for hire agreements” that have  been signed pre- or post- creation, provided they meet the other requirements listed in §101 of the Copyright Act of 1976.</w:t>
      </w:r>
    </w:p>
    <w:p w14:paraId="3E55D5B6" w14:textId="77777777" w:rsidR="00D1118F" w:rsidRPr="000C4256" w:rsidRDefault="00F72192" w:rsidP="00D1118F">
      <w:pPr>
        <w:pStyle w:val="NoSpacing"/>
        <w:rPr>
          <w:rFonts w:ascii="Times New Roman" w:hAnsi="Times New Roman" w:cs="Times New Roman"/>
          <w:b/>
          <w:sz w:val="24"/>
          <w:szCs w:val="24"/>
        </w:rPr>
      </w:pPr>
      <w:r>
        <w:rPr>
          <w:rFonts w:ascii="Times New Roman" w:hAnsi="Times New Roman" w:cs="Times New Roman"/>
          <w:b/>
          <w:sz w:val="24"/>
          <w:szCs w:val="24"/>
        </w:rPr>
        <w:t>B. Legislative intent supports Plaintiff</w:t>
      </w:r>
      <w:r w:rsidR="00D1118F" w:rsidRPr="000C4256">
        <w:rPr>
          <w:rFonts w:ascii="Times New Roman" w:hAnsi="Times New Roman" w:cs="Times New Roman"/>
          <w:b/>
          <w:sz w:val="24"/>
          <w:szCs w:val="24"/>
        </w:rPr>
        <w:t xml:space="preserve"> because Congressional silence on </w:t>
      </w:r>
      <w:r w:rsidR="008514CF">
        <w:rPr>
          <w:rFonts w:ascii="Times New Roman" w:hAnsi="Times New Roman" w:cs="Times New Roman"/>
          <w:b/>
          <w:sz w:val="24"/>
          <w:szCs w:val="24"/>
        </w:rPr>
        <w:t>pre- or post-creation signature deadlines</w:t>
      </w:r>
      <w:r w:rsidR="000C4256" w:rsidRPr="000C4256">
        <w:rPr>
          <w:rFonts w:ascii="Times New Roman" w:hAnsi="Times New Roman" w:cs="Times New Roman"/>
          <w:b/>
          <w:sz w:val="24"/>
          <w:szCs w:val="24"/>
        </w:rPr>
        <w:t xml:space="preserve"> is itself a statement of intent.</w:t>
      </w:r>
    </w:p>
    <w:p w14:paraId="7DF47809" w14:textId="77777777" w:rsidR="000C4256" w:rsidRDefault="000C4256" w:rsidP="000C4256">
      <w:pPr>
        <w:pStyle w:val="NoSpacing"/>
      </w:pPr>
    </w:p>
    <w:p w14:paraId="26ADF811" w14:textId="77777777" w:rsidR="000C4256" w:rsidRPr="000C4256" w:rsidRDefault="00833D5A" w:rsidP="000C4256">
      <w:pPr>
        <w:pStyle w:val="NoSpacing"/>
        <w:ind w:firstLine="720"/>
        <w:rPr>
          <w:rFonts w:ascii="Times New Roman" w:hAnsi="Times New Roman" w:cs="Times New Roman"/>
          <w:b/>
          <w:sz w:val="24"/>
          <w:szCs w:val="24"/>
        </w:rPr>
      </w:pPr>
      <w:r>
        <w:rPr>
          <w:rFonts w:ascii="Times New Roman" w:hAnsi="Times New Roman" w:cs="Times New Roman"/>
          <w:b/>
          <w:sz w:val="24"/>
          <w:szCs w:val="24"/>
        </w:rPr>
        <w:t>1</w:t>
      </w:r>
      <w:r w:rsidR="000C4256" w:rsidRPr="000C4256">
        <w:rPr>
          <w:rFonts w:ascii="Times New Roman" w:hAnsi="Times New Roman" w:cs="Times New Roman"/>
          <w:b/>
          <w:sz w:val="24"/>
          <w:szCs w:val="24"/>
        </w:rPr>
        <w:t>. Legislative History on the Copyright Act of 1976</w:t>
      </w:r>
    </w:p>
    <w:p w14:paraId="7B127552" w14:textId="77777777" w:rsidR="000C4256" w:rsidRDefault="000C4256" w:rsidP="000C4256">
      <w:pPr>
        <w:pStyle w:val="NoSpacing"/>
      </w:pPr>
    </w:p>
    <w:p w14:paraId="0E2BC021" w14:textId="77777777" w:rsidR="000C4256" w:rsidRPr="003A1BAF" w:rsidRDefault="000C4256" w:rsidP="000C4256">
      <w:pPr>
        <w:spacing w:line="480" w:lineRule="auto"/>
        <w:ind w:firstLine="720"/>
        <w:rPr>
          <w:rFonts w:ascii="Times New Roman" w:hAnsi="Times New Roman" w:cs="Times New Roman"/>
          <w:sz w:val="24"/>
          <w:szCs w:val="24"/>
        </w:rPr>
      </w:pPr>
      <w:r w:rsidRPr="003A1BAF">
        <w:rPr>
          <w:rFonts w:ascii="Times New Roman" w:hAnsi="Times New Roman" w:cs="Times New Roman"/>
          <w:sz w:val="24"/>
          <w:szCs w:val="24"/>
        </w:rPr>
        <w:t>After several Congressionally-authorized study groups and years of legislative stagnancy, the 94</w:t>
      </w:r>
      <w:r>
        <w:rPr>
          <w:rFonts w:ascii="Times New Roman" w:hAnsi="Times New Roman" w:cs="Times New Roman"/>
          <w:sz w:val="24"/>
          <w:szCs w:val="24"/>
        </w:rPr>
        <w:t>th</w:t>
      </w:r>
      <w:r w:rsidRPr="003A1BAF">
        <w:rPr>
          <w:rFonts w:ascii="Times New Roman" w:hAnsi="Times New Roman" w:cs="Times New Roman"/>
          <w:sz w:val="24"/>
          <w:szCs w:val="24"/>
        </w:rPr>
        <w:t xml:space="preserve"> Congress passed a massive overhaul to the copyright laws. </w:t>
      </w:r>
      <w:r w:rsidR="00833D5A">
        <w:rPr>
          <w:rFonts w:ascii="Times New Roman" w:hAnsi="Times New Roman" w:cs="Times New Roman"/>
          <w:sz w:val="24"/>
          <w:szCs w:val="24"/>
        </w:rPr>
        <w:t>After the bill’s introduction in January 1975, House and Senate Judiciary</w:t>
      </w:r>
      <w:r w:rsidRPr="003A1BAF">
        <w:rPr>
          <w:rFonts w:ascii="Times New Roman" w:hAnsi="Times New Roman" w:cs="Times New Roman"/>
          <w:sz w:val="24"/>
          <w:szCs w:val="24"/>
        </w:rPr>
        <w:t xml:space="preserve"> Committees heard extensive test</w:t>
      </w:r>
      <w:r w:rsidR="00833D5A">
        <w:rPr>
          <w:rFonts w:ascii="Times New Roman" w:hAnsi="Times New Roman" w:cs="Times New Roman"/>
          <w:sz w:val="24"/>
          <w:szCs w:val="24"/>
        </w:rPr>
        <w:t>imony from more than 100 witnesses over</w:t>
      </w:r>
      <w:r w:rsidRPr="003A1BAF">
        <w:rPr>
          <w:rFonts w:ascii="Times New Roman" w:hAnsi="Times New Roman" w:cs="Times New Roman"/>
          <w:sz w:val="24"/>
          <w:szCs w:val="24"/>
        </w:rPr>
        <w:t xml:space="preserve"> 22 days of mark-up. </w:t>
      </w:r>
      <w:proofErr w:type="gramStart"/>
      <w:r w:rsidRPr="003A1BAF">
        <w:rPr>
          <w:rFonts w:ascii="Times New Roman" w:hAnsi="Times New Roman" w:cs="Times New Roman"/>
          <w:sz w:val="24"/>
          <w:szCs w:val="24"/>
        </w:rPr>
        <w:t>122 Cong. Rec. 31978, 1976.</w:t>
      </w:r>
      <w:proofErr w:type="gramEnd"/>
      <w:r w:rsidRPr="003A1BAF">
        <w:rPr>
          <w:rFonts w:ascii="Times New Roman" w:hAnsi="Times New Roman" w:cs="Times New Roman"/>
          <w:sz w:val="24"/>
          <w:szCs w:val="24"/>
        </w:rPr>
        <w:t xml:space="preserve"> After brokering extensive compromises, the Subcommittees and Committees passed out the bills with near unanimous voting records and just one amendment.</w:t>
      </w:r>
      <w:r w:rsidRPr="003A1BAF">
        <w:rPr>
          <w:rStyle w:val="FootnoteReference"/>
          <w:rFonts w:ascii="Times New Roman" w:hAnsi="Times New Roman" w:cs="Times New Roman"/>
          <w:sz w:val="24"/>
          <w:szCs w:val="24"/>
        </w:rPr>
        <w:footnoteReference w:id="1"/>
      </w:r>
      <w:r w:rsidRPr="003A1BAF">
        <w:rPr>
          <w:rFonts w:ascii="Times New Roman" w:hAnsi="Times New Roman" w:cs="Times New Roman"/>
          <w:sz w:val="24"/>
          <w:szCs w:val="24"/>
        </w:rPr>
        <w:t xml:space="preserve">  On February 19, 1976, the U.S. Senate passed S. 22 by a unanimous consent vote (97-0). On September 22, 1976, the U.S. House of Representatives passed the bill by a wide margin (316-7). Both chambers passed the joint conference committee report on September 30, 1976, whereupon it was sent to the President’s </w:t>
      </w:r>
      <w:r w:rsidRPr="003A1BAF">
        <w:rPr>
          <w:rFonts w:ascii="Times New Roman" w:hAnsi="Times New Roman" w:cs="Times New Roman"/>
          <w:sz w:val="24"/>
          <w:szCs w:val="24"/>
        </w:rPr>
        <w:lastRenderedPageBreak/>
        <w:t>desk for signature. President Ford signed the bill into law on October 19, 1976</w:t>
      </w:r>
      <w:r>
        <w:rPr>
          <w:rFonts w:ascii="Times New Roman" w:hAnsi="Times New Roman" w:cs="Times New Roman"/>
          <w:sz w:val="24"/>
          <w:szCs w:val="24"/>
        </w:rPr>
        <w:t>,</w:t>
      </w:r>
      <w:r w:rsidRPr="003A1BAF">
        <w:rPr>
          <w:rFonts w:ascii="Times New Roman" w:hAnsi="Times New Roman" w:cs="Times New Roman"/>
          <w:sz w:val="24"/>
          <w:szCs w:val="24"/>
        </w:rPr>
        <w:t xml:space="preserve"> with an effective date of January 1, 1978.</w:t>
      </w:r>
    </w:p>
    <w:p w14:paraId="3F7676D9" w14:textId="77777777" w:rsidR="000C4256" w:rsidRDefault="000C4256" w:rsidP="000C4256">
      <w:pPr>
        <w:spacing w:line="480" w:lineRule="auto"/>
        <w:rPr>
          <w:rFonts w:ascii="Times New Roman" w:hAnsi="Times New Roman" w:cs="Times New Roman"/>
          <w:sz w:val="24"/>
          <w:szCs w:val="24"/>
        </w:rPr>
      </w:pPr>
      <w:r w:rsidRPr="003A1BAF">
        <w:rPr>
          <w:rFonts w:ascii="Times New Roman" w:hAnsi="Times New Roman" w:cs="Times New Roman"/>
          <w:sz w:val="24"/>
          <w:szCs w:val="24"/>
        </w:rPr>
        <w:tab/>
        <w:t xml:space="preserve">Congress’s extensive compromises and near-unanimous approval are significant factors in determining congressional intent. Representative Tom </w:t>
      </w:r>
      <w:proofErr w:type="spellStart"/>
      <w:r w:rsidRPr="003A1BAF">
        <w:rPr>
          <w:rFonts w:ascii="Times New Roman" w:hAnsi="Times New Roman" w:cs="Times New Roman"/>
          <w:sz w:val="24"/>
          <w:szCs w:val="24"/>
        </w:rPr>
        <w:t>Railsback</w:t>
      </w:r>
      <w:proofErr w:type="spellEnd"/>
      <w:r w:rsidRPr="003A1BAF">
        <w:rPr>
          <w:rFonts w:ascii="Times New Roman" w:hAnsi="Times New Roman" w:cs="Times New Roman"/>
          <w:sz w:val="24"/>
          <w:szCs w:val="24"/>
        </w:rPr>
        <w:t xml:space="preserve"> (R-IL), the Ranking Member of the House Judiciary Committee, commented on the House floor, “We have endeavored to bala</w:t>
      </w:r>
      <w:r w:rsidR="00277291">
        <w:rPr>
          <w:rFonts w:ascii="Times New Roman" w:hAnsi="Times New Roman" w:cs="Times New Roman"/>
          <w:sz w:val="24"/>
          <w:szCs w:val="24"/>
        </w:rPr>
        <w:t xml:space="preserve">nce the many competing interests . . . </w:t>
      </w:r>
      <w:r w:rsidRPr="003A1BAF">
        <w:rPr>
          <w:rFonts w:ascii="Times New Roman" w:hAnsi="Times New Roman" w:cs="Times New Roman"/>
          <w:sz w:val="24"/>
          <w:szCs w:val="24"/>
        </w:rPr>
        <w:t>A good compromise is probably one that satisfies no one, but is acceptable to everyone, and it has been said that this bill is a compromise of compromises</w:t>
      </w:r>
      <w:r w:rsidRPr="005A7085">
        <w:rPr>
          <w:rFonts w:ascii="Times New Roman" w:hAnsi="Times New Roman" w:cs="Times New Roman"/>
          <w:sz w:val="24"/>
          <w:szCs w:val="24"/>
        </w:rPr>
        <w:t xml:space="preserve">.” </w:t>
      </w:r>
      <w:proofErr w:type="gramStart"/>
      <w:r w:rsidRPr="005A7085">
        <w:rPr>
          <w:rFonts w:ascii="Times New Roman" w:hAnsi="Times New Roman" w:cs="Times New Roman"/>
          <w:sz w:val="24"/>
          <w:szCs w:val="24"/>
        </w:rPr>
        <w:t>122 Cong. Rec. 31983, 1976</w:t>
      </w:r>
      <w:r w:rsidR="00277291" w:rsidRPr="005A7085">
        <w:rPr>
          <w:rFonts w:ascii="Times New Roman" w:hAnsi="Times New Roman" w:cs="Times New Roman"/>
          <w:sz w:val="24"/>
          <w:szCs w:val="24"/>
        </w:rPr>
        <w:t xml:space="preserve"> (</w:t>
      </w:r>
      <w:r w:rsidR="00277291">
        <w:rPr>
          <w:rFonts w:ascii="Times New Roman" w:hAnsi="Times New Roman" w:cs="Times New Roman"/>
          <w:sz w:val="24"/>
          <w:szCs w:val="24"/>
        </w:rPr>
        <w:t xml:space="preserve">statement of Rep. Tom </w:t>
      </w:r>
      <w:proofErr w:type="spellStart"/>
      <w:r w:rsidR="00277291">
        <w:rPr>
          <w:rFonts w:ascii="Times New Roman" w:hAnsi="Times New Roman" w:cs="Times New Roman"/>
          <w:sz w:val="24"/>
          <w:szCs w:val="24"/>
        </w:rPr>
        <w:t>Railsback</w:t>
      </w:r>
      <w:proofErr w:type="spellEnd"/>
      <w:r w:rsidR="00277291">
        <w:rPr>
          <w:rFonts w:ascii="Times New Roman" w:hAnsi="Times New Roman" w:cs="Times New Roman"/>
          <w:sz w:val="24"/>
          <w:szCs w:val="24"/>
        </w:rPr>
        <w:t>)</w:t>
      </w:r>
      <w:r w:rsidRPr="003A1BAF">
        <w:rPr>
          <w:rFonts w:ascii="Times New Roman" w:hAnsi="Times New Roman" w:cs="Times New Roman"/>
          <w:sz w:val="24"/>
          <w:szCs w:val="24"/>
        </w:rPr>
        <w:t>.</w:t>
      </w:r>
      <w:proofErr w:type="gramEnd"/>
      <w:r w:rsidRPr="003A1BAF">
        <w:rPr>
          <w:rFonts w:ascii="Times New Roman" w:hAnsi="Times New Roman" w:cs="Times New Roman"/>
          <w:sz w:val="24"/>
          <w:szCs w:val="24"/>
        </w:rPr>
        <w:t xml:space="preserve"> Such extensive compromise entails delicate deal-making between interested parties, and any amendment had the potential to throw off the entire deal. For this reason, the leadership decided on a system of closed rules to limit amendments to the bill on the floor. Representative Bob </w:t>
      </w:r>
      <w:proofErr w:type="spellStart"/>
      <w:r w:rsidRPr="003A1BAF">
        <w:rPr>
          <w:rFonts w:ascii="Times New Roman" w:hAnsi="Times New Roman" w:cs="Times New Roman"/>
          <w:sz w:val="24"/>
          <w:szCs w:val="24"/>
        </w:rPr>
        <w:t>Katenmaeier</w:t>
      </w:r>
      <w:proofErr w:type="spellEnd"/>
      <w:r w:rsidRPr="003A1BAF">
        <w:rPr>
          <w:rFonts w:ascii="Times New Roman" w:hAnsi="Times New Roman" w:cs="Times New Roman"/>
          <w:sz w:val="24"/>
          <w:szCs w:val="24"/>
        </w:rPr>
        <w:t xml:space="preserve"> (D-WI), Chair of the Copyright Subcommittee, introduced the bill on the House floor by stating, “Mr. Chairman, because of the complexity of this bill and the delicate balances which it creates among competing economic interests, the committee will resist extensive amendment of this bi</w:t>
      </w:r>
      <w:r w:rsidR="00277291">
        <w:rPr>
          <w:rFonts w:ascii="Times New Roman" w:hAnsi="Times New Roman" w:cs="Times New Roman"/>
          <w:sz w:val="24"/>
          <w:szCs w:val="24"/>
        </w:rPr>
        <w:t xml:space="preserve">ll.” </w:t>
      </w:r>
      <w:proofErr w:type="gramStart"/>
      <w:r w:rsidR="00277291" w:rsidRPr="005A7085">
        <w:rPr>
          <w:rFonts w:ascii="Times New Roman" w:hAnsi="Times New Roman" w:cs="Times New Roman"/>
          <w:sz w:val="24"/>
          <w:szCs w:val="24"/>
        </w:rPr>
        <w:t>122 Cong. Rec. 31980, 1976</w:t>
      </w:r>
      <w:r w:rsidR="00277291">
        <w:rPr>
          <w:rFonts w:ascii="Times New Roman" w:hAnsi="Times New Roman" w:cs="Times New Roman"/>
          <w:sz w:val="24"/>
          <w:szCs w:val="24"/>
        </w:rPr>
        <w:t xml:space="preserve"> (statement of Rep. Bob </w:t>
      </w:r>
      <w:proofErr w:type="spellStart"/>
      <w:r w:rsidR="00277291">
        <w:rPr>
          <w:rFonts w:ascii="Times New Roman" w:hAnsi="Times New Roman" w:cs="Times New Roman"/>
          <w:sz w:val="24"/>
          <w:szCs w:val="24"/>
        </w:rPr>
        <w:t>Katenmaeier</w:t>
      </w:r>
      <w:proofErr w:type="spellEnd"/>
      <w:r w:rsidR="00277291">
        <w:rPr>
          <w:rFonts w:ascii="Times New Roman" w:hAnsi="Times New Roman" w:cs="Times New Roman"/>
          <w:sz w:val="24"/>
          <w:szCs w:val="24"/>
        </w:rPr>
        <w:t>).</w:t>
      </w:r>
      <w:proofErr w:type="gramEnd"/>
    </w:p>
    <w:p w14:paraId="3EBA39E6" w14:textId="77777777" w:rsidR="009E324E" w:rsidRDefault="000C4256" w:rsidP="000C4256">
      <w:pPr>
        <w:spacing w:line="480" w:lineRule="auto"/>
        <w:rPr>
          <w:rFonts w:ascii="Times New Roman" w:hAnsi="Times New Roman" w:cs="Times New Roman"/>
          <w:sz w:val="24"/>
          <w:szCs w:val="24"/>
        </w:rPr>
      </w:pPr>
      <w:r>
        <w:rPr>
          <w:rFonts w:ascii="Times New Roman" w:hAnsi="Times New Roman" w:cs="Times New Roman"/>
          <w:sz w:val="24"/>
          <w:szCs w:val="24"/>
        </w:rPr>
        <w:tab/>
        <w:t xml:space="preserve">During </w:t>
      </w:r>
      <w:r w:rsidR="005A7085">
        <w:rPr>
          <w:rFonts w:ascii="Times New Roman" w:hAnsi="Times New Roman" w:cs="Times New Roman"/>
          <w:sz w:val="24"/>
          <w:szCs w:val="24"/>
        </w:rPr>
        <w:t>the deal-making stage in mark-up sessions and</w:t>
      </w:r>
      <w:r>
        <w:rPr>
          <w:rFonts w:ascii="Times New Roman" w:hAnsi="Times New Roman" w:cs="Times New Roman"/>
          <w:sz w:val="24"/>
          <w:szCs w:val="24"/>
        </w:rPr>
        <w:t xml:space="preserve"> </w:t>
      </w:r>
      <w:r w:rsidR="005A7085">
        <w:rPr>
          <w:rFonts w:ascii="Times New Roman" w:hAnsi="Times New Roman" w:cs="Times New Roman"/>
          <w:sz w:val="24"/>
          <w:szCs w:val="24"/>
        </w:rPr>
        <w:t>committee hearings</w:t>
      </w:r>
      <w:r>
        <w:rPr>
          <w:rFonts w:ascii="Times New Roman" w:hAnsi="Times New Roman" w:cs="Times New Roman"/>
          <w:sz w:val="24"/>
          <w:szCs w:val="24"/>
        </w:rPr>
        <w:t xml:space="preserve">, Congress had </w:t>
      </w:r>
      <w:r w:rsidR="006A05B1">
        <w:rPr>
          <w:rFonts w:ascii="Times New Roman" w:hAnsi="Times New Roman" w:cs="Times New Roman"/>
          <w:sz w:val="24"/>
          <w:szCs w:val="24"/>
        </w:rPr>
        <w:t xml:space="preserve">many </w:t>
      </w:r>
      <w:r>
        <w:rPr>
          <w:rFonts w:ascii="Times New Roman" w:hAnsi="Times New Roman" w:cs="Times New Roman"/>
          <w:sz w:val="24"/>
          <w:szCs w:val="24"/>
        </w:rPr>
        <w:t>opportunities to amend the</w:t>
      </w:r>
      <w:r w:rsidR="00F95616">
        <w:rPr>
          <w:rFonts w:ascii="Times New Roman" w:hAnsi="Times New Roman" w:cs="Times New Roman"/>
          <w:sz w:val="24"/>
          <w:szCs w:val="24"/>
        </w:rPr>
        <w:t xml:space="preserve"> bill to include a specific deadline</w:t>
      </w:r>
      <w:r>
        <w:rPr>
          <w:rFonts w:ascii="Times New Roman" w:hAnsi="Times New Roman" w:cs="Times New Roman"/>
          <w:sz w:val="24"/>
          <w:szCs w:val="24"/>
        </w:rPr>
        <w:t xml:space="preserve"> for signature on “works made for hire</w:t>
      </w:r>
      <w:r w:rsidR="00F95616">
        <w:rPr>
          <w:rFonts w:ascii="Times New Roman" w:hAnsi="Times New Roman" w:cs="Times New Roman"/>
          <w:sz w:val="24"/>
          <w:szCs w:val="24"/>
        </w:rPr>
        <w:t>”</w:t>
      </w:r>
      <w:r w:rsidR="009E324E">
        <w:rPr>
          <w:rFonts w:ascii="Times New Roman" w:hAnsi="Times New Roman" w:cs="Times New Roman"/>
          <w:sz w:val="24"/>
          <w:szCs w:val="24"/>
        </w:rPr>
        <w:t xml:space="preserve"> contracts. </w:t>
      </w:r>
      <w:r w:rsidR="006A05B1">
        <w:rPr>
          <w:rFonts w:ascii="Times New Roman" w:hAnsi="Times New Roman" w:cs="Times New Roman"/>
          <w:sz w:val="24"/>
          <w:szCs w:val="24"/>
        </w:rPr>
        <w:t xml:space="preserve">Congress did not include </w:t>
      </w:r>
      <w:r w:rsidR="00F95616">
        <w:rPr>
          <w:rFonts w:ascii="Times New Roman" w:hAnsi="Times New Roman" w:cs="Times New Roman"/>
          <w:sz w:val="24"/>
          <w:szCs w:val="24"/>
        </w:rPr>
        <w:t xml:space="preserve">such a deadline in </w:t>
      </w:r>
      <w:r w:rsidR="006A05B1">
        <w:rPr>
          <w:rFonts w:ascii="Times New Roman" w:hAnsi="Times New Roman" w:cs="Times New Roman"/>
          <w:sz w:val="24"/>
          <w:szCs w:val="24"/>
        </w:rPr>
        <w:t>the bill</w:t>
      </w:r>
      <w:r w:rsidR="00F95616">
        <w:rPr>
          <w:rFonts w:ascii="Times New Roman" w:hAnsi="Times New Roman" w:cs="Times New Roman"/>
          <w:sz w:val="24"/>
          <w:szCs w:val="24"/>
        </w:rPr>
        <w:t xml:space="preserve">. </w:t>
      </w:r>
      <w:r w:rsidR="009E324E">
        <w:rPr>
          <w:rFonts w:ascii="Times New Roman" w:hAnsi="Times New Roman" w:cs="Times New Roman"/>
          <w:sz w:val="24"/>
          <w:szCs w:val="24"/>
        </w:rPr>
        <w:t>Other sections of the Copyright Act</w:t>
      </w:r>
      <w:r w:rsidR="000E250F">
        <w:rPr>
          <w:rFonts w:ascii="Times New Roman" w:hAnsi="Times New Roman" w:cs="Times New Roman"/>
          <w:sz w:val="24"/>
          <w:szCs w:val="24"/>
        </w:rPr>
        <w:t xml:space="preserve"> include signature deadlines.</w:t>
      </w:r>
      <w:r w:rsidR="004473F9">
        <w:rPr>
          <w:rFonts w:ascii="Times New Roman" w:hAnsi="Times New Roman" w:cs="Times New Roman"/>
          <w:sz w:val="24"/>
          <w:szCs w:val="24"/>
        </w:rPr>
        <w:t xml:space="preserve"> </w:t>
      </w:r>
      <w:r w:rsidR="00E12086">
        <w:rPr>
          <w:rFonts w:ascii="Times New Roman" w:hAnsi="Times New Roman" w:cs="Times New Roman"/>
          <w:sz w:val="24"/>
          <w:szCs w:val="24"/>
        </w:rPr>
        <w:t>For example, Congress included this</w:t>
      </w:r>
      <w:r w:rsidR="00BC570D">
        <w:rPr>
          <w:rFonts w:ascii="Times New Roman" w:hAnsi="Times New Roman" w:cs="Times New Roman"/>
          <w:sz w:val="24"/>
          <w:szCs w:val="24"/>
        </w:rPr>
        <w:t xml:space="preserve"> specific deadline in</w:t>
      </w:r>
      <w:r w:rsidR="00E12086">
        <w:rPr>
          <w:rFonts w:ascii="Times New Roman" w:hAnsi="Times New Roman" w:cs="Times New Roman"/>
          <w:sz w:val="24"/>
          <w:szCs w:val="24"/>
        </w:rPr>
        <w:t xml:space="preserve"> </w:t>
      </w:r>
      <w:r w:rsidR="00BC570D">
        <w:rPr>
          <w:rFonts w:ascii="Times New Roman" w:hAnsi="Times New Roman" w:cs="Times New Roman"/>
          <w:sz w:val="24"/>
          <w:szCs w:val="24"/>
        </w:rPr>
        <w:t>§</w:t>
      </w:r>
      <w:r w:rsidR="00E12086">
        <w:rPr>
          <w:rFonts w:ascii="Times New Roman" w:hAnsi="Times New Roman" w:cs="Times New Roman"/>
          <w:sz w:val="24"/>
          <w:szCs w:val="24"/>
        </w:rPr>
        <w:t>104A</w:t>
      </w:r>
      <w:r w:rsidR="00BC570D">
        <w:rPr>
          <w:rFonts w:ascii="Times New Roman" w:hAnsi="Times New Roman" w:cs="Times New Roman"/>
          <w:sz w:val="24"/>
          <w:szCs w:val="24"/>
        </w:rPr>
        <w:t xml:space="preserve"> of the Copyright Act</w:t>
      </w:r>
      <w:r w:rsidR="00E12086">
        <w:rPr>
          <w:rFonts w:ascii="Times New Roman" w:hAnsi="Times New Roman" w:cs="Times New Roman"/>
          <w:sz w:val="24"/>
          <w:szCs w:val="24"/>
        </w:rPr>
        <w:t>: “</w:t>
      </w:r>
      <w:r w:rsidR="00E12086" w:rsidRPr="00AE7066">
        <w:rPr>
          <w:rFonts w:ascii="Times New Roman" w:eastAsia="Times New Roman" w:hAnsi="Times New Roman" w:cs="Times New Roman"/>
          <w:sz w:val="24"/>
          <w:szCs w:val="24"/>
        </w:rPr>
        <w:t xml:space="preserve">If the notice is signed by an agent, the agency relationship must have been constituted in a writing signed by the owner </w:t>
      </w:r>
      <w:r w:rsidR="00E12086" w:rsidRPr="000E250F">
        <w:rPr>
          <w:rFonts w:ascii="Times New Roman" w:eastAsia="Times New Roman" w:hAnsi="Times New Roman" w:cs="Times New Roman"/>
          <w:sz w:val="24"/>
          <w:szCs w:val="24"/>
        </w:rPr>
        <w:t xml:space="preserve">before </w:t>
      </w:r>
      <w:r w:rsidR="00E12086" w:rsidRPr="00AE7066">
        <w:rPr>
          <w:rFonts w:ascii="Times New Roman" w:eastAsia="Times New Roman" w:hAnsi="Times New Roman" w:cs="Times New Roman"/>
          <w:sz w:val="24"/>
          <w:szCs w:val="24"/>
        </w:rPr>
        <w:t>the filing of the notice.</w:t>
      </w:r>
      <w:r w:rsidR="00E12086">
        <w:rPr>
          <w:rFonts w:ascii="Times New Roman" w:eastAsia="Times New Roman" w:hAnsi="Times New Roman" w:cs="Times New Roman"/>
          <w:sz w:val="24"/>
          <w:szCs w:val="24"/>
        </w:rPr>
        <w:t xml:space="preserve">” </w:t>
      </w:r>
      <w:r w:rsidR="00E12086" w:rsidRPr="005A7085">
        <w:rPr>
          <w:rFonts w:ascii="Times New Roman" w:eastAsia="Times New Roman" w:hAnsi="Times New Roman" w:cs="Times New Roman"/>
          <w:sz w:val="24"/>
          <w:szCs w:val="24"/>
        </w:rPr>
        <w:t>Copyright Act of 1976, 17 U.S.C. §104A(e)(1)</w:t>
      </w:r>
      <w:r w:rsidR="00BC570D" w:rsidRPr="005A7085">
        <w:rPr>
          <w:rFonts w:ascii="Times New Roman" w:eastAsia="Times New Roman" w:hAnsi="Times New Roman" w:cs="Times New Roman"/>
          <w:sz w:val="24"/>
          <w:szCs w:val="24"/>
        </w:rPr>
        <w:t xml:space="preserve"> </w:t>
      </w:r>
      <w:r w:rsidR="00E12086" w:rsidRPr="005A7085">
        <w:rPr>
          <w:rFonts w:ascii="Times New Roman" w:eastAsia="Times New Roman" w:hAnsi="Times New Roman" w:cs="Times New Roman"/>
          <w:sz w:val="24"/>
          <w:szCs w:val="24"/>
        </w:rPr>
        <w:t>(1976).</w:t>
      </w:r>
      <w:r w:rsidR="000E250F" w:rsidRPr="000E250F">
        <w:rPr>
          <w:rFonts w:ascii="Times New Roman" w:hAnsi="Times New Roman" w:cs="Times New Roman"/>
          <w:sz w:val="24"/>
          <w:szCs w:val="24"/>
        </w:rPr>
        <w:t xml:space="preserve"> </w:t>
      </w:r>
      <w:r w:rsidR="000E250F">
        <w:rPr>
          <w:rFonts w:ascii="Times New Roman" w:hAnsi="Times New Roman" w:cs="Times New Roman"/>
          <w:sz w:val="24"/>
          <w:szCs w:val="24"/>
        </w:rPr>
        <w:t xml:space="preserve">From this language, it is clear Congress knew how to write such requirements into legislation when it intended such </w:t>
      </w:r>
      <w:r w:rsidR="000E250F">
        <w:rPr>
          <w:rFonts w:ascii="Times New Roman" w:hAnsi="Times New Roman" w:cs="Times New Roman"/>
          <w:sz w:val="24"/>
          <w:szCs w:val="24"/>
        </w:rPr>
        <w:lastRenderedPageBreak/>
        <w:t>requirements.</w:t>
      </w:r>
      <w:r w:rsidR="009E324E">
        <w:rPr>
          <w:rFonts w:ascii="Times New Roman" w:hAnsi="Times New Roman" w:cs="Times New Roman"/>
          <w:sz w:val="24"/>
          <w:szCs w:val="24"/>
        </w:rPr>
        <w:t xml:space="preserve"> </w:t>
      </w:r>
      <w:r w:rsidR="005A7085">
        <w:rPr>
          <w:rFonts w:ascii="Times New Roman" w:hAnsi="Times New Roman" w:cs="Times New Roman"/>
          <w:sz w:val="24"/>
          <w:szCs w:val="24"/>
        </w:rPr>
        <w:t>Absent this kind of plain</w:t>
      </w:r>
      <w:r w:rsidR="000E250F">
        <w:rPr>
          <w:rFonts w:ascii="Times New Roman" w:hAnsi="Times New Roman" w:cs="Times New Roman"/>
          <w:sz w:val="24"/>
          <w:szCs w:val="24"/>
        </w:rPr>
        <w:t xml:space="preserve"> language, i</w:t>
      </w:r>
      <w:r w:rsidR="00F95616">
        <w:rPr>
          <w:rFonts w:ascii="Times New Roman" w:hAnsi="Times New Roman" w:cs="Times New Roman"/>
          <w:sz w:val="24"/>
          <w:szCs w:val="24"/>
        </w:rPr>
        <w:t>t</w:t>
      </w:r>
      <w:r w:rsidR="009E324E">
        <w:rPr>
          <w:rFonts w:ascii="Times New Roman" w:hAnsi="Times New Roman" w:cs="Times New Roman"/>
          <w:sz w:val="24"/>
          <w:szCs w:val="24"/>
        </w:rPr>
        <w:t xml:space="preserve"> would be improper for the Court to</w:t>
      </w:r>
      <w:r w:rsidR="006A05B1">
        <w:rPr>
          <w:rFonts w:ascii="Times New Roman" w:hAnsi="Times New Roman" w:cs="Times New Roman"/>
          <w:sz w:val="24"/>
          <w:szCs w:val="24"/>
        </w:rPr>
        <w:t xml:space="preserve"> infringe on legislative intent by reading a deadline into the statute where Congress declined to add one. </w:t>
      </w:r>
      <w:r w:rsidR="009E324E">
        <w:rPr>
          <w:rFonts w:ascii="Times New Roman" w:hAnsi="Times New Roman" w:cs="Times New Roman"/>
          <w:sz w:val="24"/>
          <w:szCs w:val="24"/>
        </w:rPr>
        <w:t xml:space="preserve"> </w:t>
      </w:r>
    </w:p>
    <w:p w14:paraId="094C08F2" w14:textId="77777777" w:rsidR="007F38EB" w:rsidRPr="008514CF" w:rsidRDefault="007F38EB" w:rsidP="007F38EB">
      <w:pPr>
        <w:pStyle w:val="NoSpacing"/>
        <w:ind w:left="720"/>
        <w:rPr>
          <w:rFonts w:ascii="Times New Roman" w:hAnsi="Times New Roman" w:cs="Times New Roman"/>
          <w:b/>
          <w:sz w:val="24"/>
          <w:szCs w:val="24"/>
        </w:rPr>
      </w:pPr>
      <w:r>
        <w:rPr>
          <w:rFonts w:ascii="Times New Roman" w:hAnsi="Times New Roman" w:cs="Times New Roman"/>
          <w:b/>
          <w:sz w:val="24"/>
          <w:szCs w:val="24"/>
        </w:rPr>
        <w:t>2</w:t>
      </w:r>
      <w:r w:rsidRPr="008514CF">
        <w:rPr>
          <w:rFonts w:ascii="Times New Roman" w:hAnsi="Times New Roman" w:cs="Times New Roman"/>
          <w:b/>
          <w:sz w:val="24"/>
          <w:szCs w:val="24"/>
        </w:rPr>
        <w:t>. The Court should weigh Congressional silence more heavily than the opinion of the Register of the U.S. Copyright Office because the Register is part of the legislative branch.</w:t>
      </w:r>
    </w:p>
    <w:p w14:paraId="44FFDDF7" w14:textId="77777777" w:rsidR="007F38EB" w:rsidRPr="008514CF" w:rsidRDefault="007F38EB" w:rsidP="007F38EB">
      <w:pPr>
        <w:pStyle w:val="NoSpacing"/>
        <w:rPr>
          <w:rFonts w:ascii="Times New Roman" w:hAnsi="Times New Roman" w:cs="Times New Roman"/>
          <w:sz w:val="24"/>
          <w:szCs w:val="24"/>
        </w:rPr>
      </w:pPr>
    </w:p>
    <w:p w14:paraId="26F33376" w14:textId="77777777" w:rsidR="007F38EB" w:rsidRPr="008514CF" w:rsidRDefault="007F38EB" w:rsidP="007F38EB">
      <w:pPr>
        <w:pStyle w:val="NoSpacing"/>
        <w:rPr>
          <w:rFonts w:ascii="Times New Roman" w:hAnsi="Times New Roman" w:cs="Times New Roman"/>
          <w:sz w:val="24"/>
          <w:szCs w:val="24"/>
        </w:rPr>
      </w:pPr>
    </w:p>
    <w:p w14:paraId="5B09EA77" w14:textId="77777777" w:rsidR="007F38EB" w:rsidRPr="003A1BAF" w:rsidRDefault="007F38EB" w:rsidP="007F38EB">
      <w:pPr>
        <w:spacing w:line="480" w:lineRule="auto"/>
        <w:ind w:firstLine="720"/>
        <w:rPr>
          <w:rFonts w:ascii="Times New Roman" w:hAnsi="Times New Roman" w:cs="Times New Roman"/>
          <w:sz w:val="24"/>
          <w:szCs w:val="24"/>
        </w:rPr>
      </w:pPr>
      <w:r w:rsidRPr="003A1BAF">
        <w:rPr>
          <w:rFonts w:ascii="Times New Roman" w:hAnsi="Times New Roman" w:cs="Times New Roman"/>
          <w:sz w:val="24"/>
          <w:szCs w:val="24"/>
        </w:rPr>
        <w:t xml:space="preserve">One of Congress’s enumerated powers is to establish copyright protections. “To promote the progress of science and useful arts, by securing for limited times to authors and inventors the exclusive right to their respective writings and discoveries.” </w:t>
      </w:r>
      <w:proofErr w:type="gramStart"/>
      <w:r w:rsidRPr="003A1BAF">
        <w:rPr>
          <w:rFonts w:ascii="Times New Roman" w:hAnsi="Times New Roman" w:cs="Times New Roman"/>
          <w:sz w:val="24"/>
          <w:szCs w:val="24"/>
        </w:rPr>
        <w:t>U.S. C</w:t>
      </w:r>
      <w:r>
        <w:rPr>
          <w:rFonts w:ascii="Times New Roman" w:hAnsi="Times New Roman" w:cs="Times New Roman"/>
          <w:sz w:val="24"/>
          <w:szCs w:val="24"/>
        </w:rPr>
        <w:t>ONST. art.</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I, §8.</w:t>
      </w:r>
      <w:proofErr w:type="gramEnd"/>
      <w:r>
        <w:rPr>
          <w:rFonts w:ascii="Times New Roman" w:hAnsi="Times New Roman" w:cs="Times New Roman"/>
          <w:sz w:val="24"/>
          <w:szCs w:val="24"/>
        </w:rPr>
        <w:t xml:space="preserve"> To this end, Congress created the U.S. Copyright Office as a service unit of the Library of Congress in 1897. </w:t>
      </w:r>
      <w:r w:rsidRPr="003A1BAF">
        <w:rPr>
          <w:rFonts w:ascii="Times New Roman" w:hAnsi="Times New Roman" w:cs="Times New Roman"/>
          <w:sz w:val="24"/>
          <w:szCs w:val="24"/>
        </w:rPr>
        <w:t xml:space="preserve">The Copyright Office exists “to promote creativity by administering and sustaining an effective national copyright system” and it advises Congress on copyright policy. </w:t>
      </w:r>
      <w:r>
        <w:rPr>
          <w:rFonts w:ascii="Times New Roman" w:hAnsi="Times New Roman" w:cs="Times New Roman"/>
          <w:sz w:val="24"/>
          <w:szCs w:val="24"/>
        </w:rPr>
        <w:t xml:space="preserve">The Copyright Office is part of the legislative branch of the federal government, and the Register of the Copyright Office is appointed by the Librarian of Congress. </w:t>
      </w:r>
    </w:p>
    <w:p w14:paraId="2674C4B4" w14:textId="77777777" w:rsidR="007F38EB" w:rsidRDefault="007F38EB" w:rsidP="007F38EB">
      <w:pPr>
        <w:spacing w:line="480" w:lineRule="auto"/>
        <w:ind w:firstLine="720"/>
        <w:rPr>
          <w:rFonts w:ascii="Times New Roman" w:hAnsi="Times New Roman" w:cs="Times New Roman"/>
          <w:sz w:val="24"/>
          <w:szCs w:val="24"/>
        </w:rPr>
      </w:pPr>
      <w:r>
        <w:rPr>
          <w:rFonts w:ascii="Times New Roman" w:hAnsi="Times New Roman" w:cs="Times New Roman"/>
          <w:sz w:val="24"/>
          <w:szCs w:val="24"/>
        </w:rPr>
        <w:t xml:space="preserve">Barbara Ringer served as Register of the U.S. Copyright Office from 1973 to 1980. Her tenure as Register overlapped with the passage of the Copyright Act of 1976. As part of her work for the Copyright Office, Ringer advised and testified before Congress on the Copyright Act. At one point, </w:t>
      </w:r>
      <w:r w:rsidRPr="003A1BAF">
        <w:rPr>
          <w:rFonts w:ascii="Times New Roman" w:hAnsi="Times New Roman" w:cs="Times New Roman"/>
          <w:sz w:val="24"/>
          <w:szCs w:val="24"/>
        </w:rPr>
        <w:t xml:space="preserve">Ringer personally interpreted the “work made for hire” provision to require a pre-creation signature. </w:t>
      </w:r>
      <w:r>
        <w:rPr>
          <w:rFonts w:ascii="Times New Roman" w:hAnsi="Times New Roman" w:cs="Times New Roman"/>
          <w:sz w:val="24"/>
          <w:szCs w:val="24"/>
        </w:rPr>
        <w:t xml:space="preserve">Before the House Judiciary Committee in 1965, Ringer testified, </w:t>
      </w:r>
      <w:r w:rsidRPr="003A1BAF">
        <w:rPr>
          <w:rFonts w:ascii="Times New Roman" w:hAnsi="Times New Roman" w:cs="Times New Roman"/>
          <w:sz w:val="24"/>
          <w:szCs w:val="24"/>
        </w:rPr>
        <w:t xml:space="preserve">“It would not be considered a ‘work made for hire’ if the contract were signed later on – after the work was written, for example.” </w:t>
      </w:r>
      <w:r>
        <w:rPr>
          <w:rFonts w:ascii="Times New Roman" w:hAnsi="Times New Roman" w:cs="Times New Roman"/>
          <w:sz w:val="24"/>
          <w:szCs w:val="24"/>
        </w:rPr>
        <w:t>Copyright Act: Hearing to Revise the Copyright Act Before the House Comm. on the Judiciary, Part 5, 89</w:t>
      </w:r>
      <w:r w:rsidRPr="005A20D2">
        <w:rPr>
          <w:rFonts w:ascii="Times New Roman" w:hAnsi="Times New Roman" w:cs="Times New Roman"/>
          <w:sz w:val="24"/>
          <w:szCs w:val="24"/>
        </w:rPr>
        <w:t>th</w:t>
      </w:r>
      <w:r>
        <w:rPr>
          <w:rFonts w:ascii="Times New Roman" w:hAnsi="Times New Roman" w:cs="Times New Roman"/>
          <w:sz w:val="24"/>
          <w:szCs w:val="24"/>
        </w:rPr>
        <w:t xml:space="preserve"> Cong. 145 (Sept. 2, 1965). The Court should not defer to this personal interpretation because Ringer is a legislative staff member and there is no evidence that Congress officially adopted her interpretation in the final bill.</w:t>
      </w:r>
    </w:p>
    <w:p w14:paraId="68AAEF53" w14:textId="77777777" w:rsidR="007F38EB" w:rsidRDefault="007F38EB" w:rsidP="007F38EB">
      <w:pPr>
        <w:pStyle w:val="NoSpacing"/>
        <w:ind w:left="1440"/>
        <w:rPr>
          <w:rFonts w:ascii="Times New Roman" w:hAnsi="Times New Roman" w:cs="Times New Roman"/>
          <w:b/>
          <w:sz w:val="24"/>
          <w:szCs w:val="24"/>
        </w:rPr>
      </w:pPr>
      <w:r>
        <w:rPr>
          <w:rFonts w:ascii="Times New Roman" w:hAnsi="Times New Roman" w:cs="Times New Roman"/>
          <w:b/>
          <w:sz w:val="24"/>
          <w:szCs w:val="24"/>
        </w:rPr>
        <w:lastRenderedPageBreak/>
        <w:t>a</w:t>
      </w:r>
      <w:r w:rsidRPr="00BD1F86">
        <w:rPr>
          <w:rFonts w:ascii="Times New Roman" w:hAnsi="Times New Roman" w:cs="Times New Roman"/>
          <w:b/>
          <w:sz w:val="24"/>
          <w:szCs w:val="24"/>
        </w:rPr>
        <w:t>. The Court should not defer to Ringer’s personal interpretation of the statute because legislative staffers’ interpretations are not dispositive to statutory interpretation.</w:t>
      </w:r>
    </w:p>
    <w:p w14:paraId="00AC3D5D" w14:textId="77777777" w:rsidR="00007363" w:rsidRPr="00BD1F86" w:rsidRDefault="00007363" w:rsidP="007F38EB">
      <w:pPr>
        <w:pStyle w:val="NoSpacing"/>
        <w:ind w:left="1440"/>
        <w:rPr>
          <w:rFonts w:ascii="Times New Roman" w:hAnsi="Times New Roman" w:cs="Times New Roman"/>
          <w:b/>
          <w:sz w:val="24"/>
          <w:szCs w:val="24"/>
        </w:rPr>
      </w:pPr>
    </w:p>
    <w:p w14:paraId="6ABAD613" w14:textId="77777777" w:rsidR="007F38EB" w:rsidRDefault="007F38EB" w:rsidP="007F38EB">
      <w:pPr>
        <w:spacing w:line="480" w:lineRule="auto"/>
        <w:ind w:firstLine="720"/>
        <w:rPr>
          <w:rFonts w:ascii="Times New Roman" w:hAnsi="Times New Roman" w:cs="Times New Roman"/>
          <w:sz w:val="24"/>
          <w:szCs w:val="24"/>
        </w:rPr>
      </w:pPr>
      <w:r w:rsidRPr="003A1BAF">
        <w:rPr>
          <w:rFonts w:ascii="Times New Roman" w:hAnsi="Times New Roman" w:cs="Times New Roman"/>
          <w:sz w:val="24"/>
          <w:szCs w:val="24"/>
        </w:rPr>
        <w:t xml:space="preserve">Ringer’s personal interpretation </w:t>
      </w:r>
      <w:r>
        <w:rPr>
          <w:rFonts w:ascii="Times New Roman" w:hAnsi="Times New Roman" w:cs="Times New Roman"/>
          <w:sz w:val="24"/>
          <w:szCs w:val="24"/>
        </w:rPr>
        <w:t xml:space="preserve">is not relevant </w:t>
      </w:r>
      <w:r w:rsidRPr="003A1BAF">
        <w:rPr>
          <w:rFonts w:ascii="Times New Roman" w:hAnsi="Times New Roman" w:cs="Times New Roman"/>
          <w:sz w:val="24"/>
          <w:szCs w:val="24"/>
        </w:rPr>
        <w:t>in this case</w:t>
      </w:r>
      <w:r>
        <w:rPr>
          <w:rFonts w:ascii="Times New Roman" w:hAnsi="Times New Roman" w:cs="Times New Roman"/>
          <w:sz w:val="24"/>
          <w:szCs w:val="24"/>
        </w:rPr>
        <w:t xml:space="preserve"> because Ringer is a legislative staff member, not a Member of Congress. Courts have accepted legislative history as one method of statutory interpretation. </w:t>
      </w:r>
      <w:r w:rsidRPr="007B032F">
        <w:rPr>
          <w:rFonts w:ascii="Times New Roman" w:hAnsi="Times New Roman" w:cs="Times New Roman"/>
          <w:i/>
          <w:sz w:val="24"/>
          <w:szCs w:val="24"/>
        </w:rPr>
        <w:t>Holy Trinity Church v. U.S.</w:t>
      </w:r>
      <w:r>
        <w:rPr>
          <w:rFonts w:ascii="Times New Roman" w:hAnsi="Times New Roman" w:cs="Times New Roman"/>
          <w:sz w:val="24"/>
          <w:szCs w:val="24"/>
        </w:rPr>
        <w:t xml:space="preserve">, 143 U.S. 457 (1892). However, the legislative staff analysis, such as Ringer’s testimony before the House Judiciary Committee, does not carry legal weight because it is “not determinative of legislative intent.” </w:t>
      </w:r>
      <w:proofErr w:type="gramStart"/>
      <w:r w:rsidRPr="00C3422F">
        <w:rPr>
          <w:rFonts w:ascii="Times New Roman" w:hAnsi="Times New Roman" w:cs="Times New Roman"/>
          <w:i/>
          <w:sz w:val="24"/>
          <w:szCs w:val="24"/>
        </w:rPr>
        <w:t xml:space="preserve">Am. Home </w:t>
      </w:r>
      <w:proofErr w:type="spellStart"/>
      <w:r w:rsidRPr="00C3422F">
        <w:rPr>
          <w:rFonts w:ascii="Times New Roman" w:hAnsi="Times New Roman" w:cs="Times New Roman"/>
          <w:i/>
          <w:sz w:val="24"/>
          <w:szCs w:val="24"/>
        </w:rPr>
        <w:t>Assur</w:t>
      </w:r>
      <w:proofErr w:type="spellEnd"/>
      <w:r w:rsidRPr="00C3422F">
        <w:rPr>
          <w:rFonts w:ascii="Times New Roman" w:hAnsi="Times New Roman" w:cs="Times New Roman"/>
          <w:i/>
          <w:sz w:val="24"/>
          <w:szCs w:val="24"/>
        </w:rPr>
        <w:t>.</w:t>
      </w:r>
      <w:proofErr w:type="gramEnd"/>
      <w:r w:rsidRPr="00C3422F">
        <w:rPr>
          <w:rFonts w:ascii="Times New Roman" w:hAnsi="Times New Roman" w:cs="Times New Roman"/>
          <w:i/>
          <w:sz w:val="24"/>
          <w:szCs w:val="24"/>
        </w:rPr>
        <w:t xml:space="preserve"> Co. v. Plaza Materials Corp.</w:t>
      </w:r>
      <w:r>
        <w:rPr>
          <w:rFonts w:ascii="Times New Roman" w:hAnsi="Times New Roman" w:cs="Times New Roman"/>
          <w:sz w:val="24"/>
          <w:szCs w:val="24"/>
        </w:rPr>
        <w:t xml:space="preserve">, 908 So. </w:t>
      </w:r>
      <w:proofErr w:type="gramStart"/>
      <w:r>
        <w:rPr>
          <w:rFonts w:ascii="Times New Roman" w:hAnsi="Times New Roman" w:cs="Times New Roman"/>
          <w:sz w:val="24"/>
          <w:szCs w:val="24"/>
        </w:rPr>
        <w:t>2d 360, 375 (Fla. 2005).</w:t>
      </w:r>
      <w:proofErr w:type="gramEnd"/>
      <w:r>
        <w:rPr>
          <w:rFonts w:ascii="Times New Roman" w:hAnsi="Times New Roman" w:cs="Times New Roman"/>
          <w:sz w:val="24"/>
          <w:szCs w:val="24"/>
        </w:rPr>
        <w:t xml:space="preserve"> Legislative staffers, such as Ringer, are not elected, </w:t>
      </w:r>
      <w:r w:rsidR="00007363">
        <w:rPr>
          <w:rFonts w:ascii="Times New Roman" w:hAnsi="Times New Roman" w:cs="Times New Roman"/>
          <w:sz w:val="24"/>
          <w:szCs w:val="24"/>
        </w:rPr>
        <w:t xml:space="preserve">and do not have authority under the Constitution to pass laws. It </w:t>
      </w:r>
      <w:r>
        <w:rPr>
          <w:rFonts w:ascii="Times New Roman" w:hAnsi="Times New Roman" w:cs="Times New Roman"/>
          <w:sz w:val="24"/>
          <w:szCs w:val="24"/>
        </w:rPr>
        <w:t>is uncle</w:t>
      </w:r>
      <w:r w:rsidR="00007363">
        <w:rPr>
          <w:rFonts w:ascii="Times New Roman" w:hAnsi="Times New Roman" w:cs="Times New Roman"/>
          <w:sz w:val="24"/>
          <w:szCs w:val="24"/>
        </w:rPr>
        <w:t>ar how staff</w:t>
      </w:r>
      <w:r>
        <w:rPr>
          <w:rFonts w:ascii="Times New Roman" w:hAnsi="Times New Roman" w:cs="Times New Roman"/>
          <w:sz w:val="24"/>
          <w:szCs w:val="24"/>
        </w:rPr>
        <w:t xml:space="preserve"> analysis </w:t>
      </w:r>
      <w:r w:rsidR="00007363">
        <w:rPr>
          <w:rFonts w:ascii="Times New Roman" w:hAnsi="Times New Roman" w:cs="Times New Roman"/>
          <w:sz w:val="24"/>
          <w:szCs w:val="24"/>
        </w:rPr>
        <w:t xml:space="preserve">influences </w:t>
      </w:r>
      <w:r>
        <w:rPr>
          <w:rFonts w:ascii="Times New Roman" w:hAnsi="Times New Roman" w:cs="Times New Roman"/>
          <w:sz w:val="24"/>
          <w:szCs w:val="24"/>
        </w:rPr>
        <w:t xml:space="preserve">Congress </w:t>
      </w:r>
      <w:r w:rsidR="00007363">
        <w:rPr>
          <w:rFonts w:ascii="Times New Roman" w:hAnsi="Times New Roman" w:cs="Times New Roman"/>
          <w:sz w:val="24"/>
          <w:szCs w:val="24"/>
        </w:rPr>
        <w:t>if not all Members agree with or even read the analysis</w:t>
      </w:r>
      <w:r>
        <w:rPr>
          <w:rFonts w:ascii="Times New Roman" w:hAnsi="Times New Roman" w:cs="Times New Roman"/>
          <w:sz w:val="24"/>
          <w:szCs w:val="24"/>
        </w:rPr>
        <w:t xml:space="preserve">. </w:t>
      </w:r>
      <w:proofErr w:type="gramStart"/>
      <w:r w:rsidRPr="00C3422F">
        <w:rPr>
          <w:rFonts w:ascii="Times New Roman" w:hAnsi="Times New Roman" w:cs="Times New Roman"/>
          <w:i/>
          <w:sz w:val="24"/>
          <w:szCs w:val="24"/>
        </w:rPr>
        <w:t>Id.</w:t>
      </w:r>
      <w:r>
        <w:rPr>
          <w:rFonts w:ascii="Times New Roman" w:hAnsi="Times New Roman" w:cs="Times New Roman"/>
          <w:sz w:val="24"/>
          <w:szCs w:val="24"/>
        </w:rPr>
        <w:t xml:space="preserve"> at 376.</w:t>
      </w:r>
      <w:proofErr w:type="gramEnd"/>
      <w:r>
        <w:rPr>
          <w:rFonts w:ascii="Times New Roman" w:hAnsi="Times New Roman" w:cs="Times New Roman"/>
          <w:sz w:val="24"/>
          <w:szCs w:val="24"/>
        </w:rPr>
        <w:t xml:space="preserve"> Furthermore, Courts should not give committee reports, such as Ringer’s transcript to the House Judiciary Committe</w:t>
      </w:r>
      <w:r w:rsidR="00007363">
        <w:rPr>
          <w:rFonts w:ascii="Times New Roman" w:hAnsi="Times New Roman" w:cs="Times New Roman"/>
          <w:sz w:val="24"/>
          <w:szCs w:val="24"/>
        </w:rPr>
        <w:t>e, the power of law because such reports bypass the constitutional</w:t>
      </w:r>
      <w:r>
        <w:rPr>
          <w:rFonts w:ascii="Times New Roman" w:hAnsi="Times New Roman" w:cs="Times New Roman"/>
          <w:sz w:val="24"/>
          <w:szCs w:val="24"/>
        </w:rPr>
        <w:t xml:space="preserve"> requirements for lawmaking: identical language passed in both houses with a Presidential signature or a veto override. </w:t>
      </w:r>
      <w:r w:rsidRPr="005E7935">
        <w:rPr>
          <w:rFonts w:ascii="Times New Roman" w:hAnsi="Times New Roman" w:cs="Times New Roman"/>
          <w:i/>
          <w:sz w:val="24"/>
          <w:szCs w:val="24"/>
        </w:rPr>
        <w:t>Id.</w:t>
      </w:r>
      <w:r>
        <w:rPr>
          <w:rFonts w:ascii="Times New Roman" w:hAnsi="Times New Roman" w:cs="Times New Roman"/>
          <w:sz w:val="24"/>
          <w:szCs w:val="24"/>
        </w:rPr>
        <w:t xml:space="preserve"> </w:t>
      </w:r>
      <w:r w:rsidR="00263D91">
        <w:rPr>
          <w:rFonts w:ascii="Times New Roman" w:hAnsi="Times New Roman" w:cs="Times New Roman"/>
          <w:sz w:val="24"/>
          <w:szCs w:val="24"/>
        </w:rPr>
        <w:t xml:space="preserve">The Court should treat </w:t>
      </w:r>
      <w:r w:rsidR="00007363">
        <w:rPr>
          <w:rFonts w:ascii="Times New Roman" w:hAnsi="Times New Roman" w:cs="Times New Roman"/>
          <w:sz w:val="24"/>
          <w:szCs w:val="24"/>
        </w:rPr>
        <w:t xml:space="preserve">Ringer’s testimony </w:t>
      </w:r>
      <w:r w:rsidR="00263D91">
        <w:rPr>
          <w:rFonts w:ascii="Times New Roman" w:hAnsi="Times New Roman" w:cs="Times New Roman"/>
          <w:sz w:val="24"/>
          <w:szCs w:val="24"/>
        </w:rPr>
        <w:t>as a personal opinion in her capacity as a Congressional advisor, not as a binding interpretation</w:t>
      </w:r>
      <w:r w:rsidR="00D570C0">
        <w:rPr>
          <w:rFonts w:ascii="Times New Roman" w:hAnsi="Times New Roman" w:cs="Times New Roman"/>
          <w:sz w:val="24"/>
          <w:szCs w:val="24"/>
        </w:rPr>
        <w:t xml:space="preserve"> of the law or as a symbol of Congressional intent.</w:t>
      </w:r>
    </w:p>
    <w:p w14:paraId="1CB38713" w14:textId="77777777" w:rsidR="007F38EB" w:rsidRDefault="007F38EB" w:rsidP="007F38EB">
      <w:pPr>
        <w:spacing w:line="480" w:lineRule="auto"/>
        <w:ind w:firstLine="720"/>
        <w:rPr>
          <w:rFonts w:ascii="Times New Roman" w:hAnsi="Times New Roman" w:cs="Times New Roman"/>
          <w:sz w:val="24"/>
          <w:szCs w:val="24"/>
        </w:rPr>
      </w:pPr>
      <w:r w:rsidRPr="003A1BAF">
        <w:rPr>
          <w:rFonts w:ascii="Times New Roman" w:hAnsi="Times New Roman" w:cs="Times New Roman"/>
          <w:sz w:val="24"/>
          <w:szCs w:val="24"/>
        </w:rPr>
        <w:t xml:space="preserve">Since the Copyright Office is part of the legislative branch and not an executive agency, the Register’s interpretation of the Copyright Act is precluded from deference under </w:t>
      </w:r>
      <w:r w:rsidRPr="003A1BAF">
        <w:rPr>
          <w:rFonts w:ascii="Times New Roman" w:hAnsi="Times New Roman" w:cs="Times New Roman"/>
          <w:i/>
          <w:sz w:val="24"/>
          <w:szCs w:val="24"/>
        </w:rPr>
        <w:t>Skidmore</w:t>
      </w:r>
      <w:r w:rsidR="00D570C0">
        <w:rPr>
          <w:rFonts w:ascii="Times New Roman" w:hAnsi="Times New Roman" w:cs="Times New Roman"/>
          <w:sz w:val="24"/>
          <w:szCs w:val="24"/>
        </w:rPr>
        <w:t xml:space="preserve"> and </w:t>
      </w:r>
      <w:r w:rsidRPr="003A1BAF">
        <w:rPr>
          <w:rFonts w:ascii="Times New Roman" w:hAnsi="Times New Roman" w:cs="Times New Roman"/>
          <w:i/>
          <w:sz w:val="24"/>
          <w:szCs w:val="24"/>
        </w:rPr>
        <w:t>Chevron</w:t>
      </w:r>
      <w:r w:rsidRPr="003A1BAF">
        <w:rPr>
          <w:rFonts w:ascii="Times New Roman" w:hAnsi="Times New Roman" w:cs="Times New Roman"/>
          <w:sz w:val="24"/>
          <w:szCs w:val="24"/>
        </w:rPr>
        <w:t xml:space="preserve"> tests.</w:t>
      </w:r>
      <w:r>
        <w:rPr>
          <w:rFonts w:ascii="Times New Roman" w:hAnsi="Times New Roman" w:cs="Times New Roman"/>
          <w:sz w:val="24"/>
          <w:szCs w:val="24"/>
        </w:rPr>
        <w:t xml:space="preserve"> </w:t>
      </w:r>
      <w:r w:rsidRPr="009778D1">
        <w:rPr>
          <w:rFonts w:ascii="Times New Roman" w:hAnsi="Times New Roman" w:cs="Times New Roman"/>
          <w:i/>
          <w:sz w:val="24"/>
          <w:szCs w:val="24"/>
        </w:rPr>
        <w:t>Skidmore v. Swift &amp; Co.</w:t>
      </w:r>
      <w:r>
        <w:rPr>
          <w:rFonts w:ascii="Times New Roman" w:hAnsi="Times New Roman" w:cs="Times New Roman"/>
          <w:sz w:val="24"/>
          <w:szCs w:val="24"/>
        </w:rPr>
        <w:t xml:space="preserve">, 323 U.S. 134, 140 (1944) (Court </w:t>
      </w:r>
      <w:r w:rsidR="00263D91">
        <w:rPr>
          <w:rFonts w:ascii="Times New Roman" w:hAnsi="Times New Roman" w:cs="Times New Roman"/>
          <w:sz w:val="24"/>
          <w:szCs w:val="24"/>
        </w:rPr>
        <w:t xml:space="preserve">defines the </w:t>
      </w:r>
      <w:r w:rsidR="00263D91" w:rsidRPr="00263D91">
        <w:rPr>
          <w:rFonts w:ascii="Times New Roman" w:hAnsi="Times New Roman" w:cs="Times New Roman"/>
          <w:i/>
          <w:sz w:val="24"/>
          <w:szCs w:val="24"/>
        </w:rPr>
        <w:t>Skidmore</w:t>
      </w:r>
      <w:r w:rsidR="00263D91">
        <w:rPr>
          <w:rFonts w:ascii="Times New Roman" w:hAnsi="Times New Roman" w:cs="Times New Roman"/>
          <w:sz w:val="24"/>
          <w:szCs w:val="24"/>
        </w:rPr>
        <w:t xml:space="preserve"> test as applying to federal agencies</w:t>
      </w:r>
      <w:r>
        <w:rPr>
          <w:rFonts w:ascii="Times New Roman" w:hAnsi="Times New Roman" w:cs="Times New Roman"/>
          <w:sz w:val="24"/>
          <w:szCs w:val="24"/>
        </w:rPr>
        <w:t xml:space="preserve">); </w:t>
      </w:r>
      <w:r w:rsidRPr="009778D1">
        <w:rPr>
          <w:rFonts w:ascii="Times New Roman" w:hAnsi="Times New Roman" w:cs="Times New Roman"/>
          <w:i/>
          <w:sz w:val="24"/>
          <w:szCs w:val="24"/>
        </w:rPr>
        <w:t>Chevron, U.S.A., Inc. v. NRDC, Inc.</w:t>
      </w:r>
      <w:r>
        <w:rPr>
          <w:rFonts w:ascii="Times New Roman" w:hAnsi="Times New Roman" w:cs="Times New Roman"/>
          <w:sz w:val="24"/>
          <w:szCs w:val="24"/>
        </w:rPr>
        <w:t xml:space="preserve">, 467 U.S. 837, 842-843 (1984) (Court defines the </w:t>
      </w:r>
      <w:r w:rsidRPr="009778D1">
        <w:rPr>
          <w:rFonts w:ascii="Times New Roman" w:hAnsi="Times New Roman" w:cs="Times New Roman"/>
          <w:i/>
          <w:sz w:val="24"/>
          <w:szCs w:val="24"/>
        </w:rPr>
        <w:t>Chevron</w:t>
      </w:r>
      <w:r>
        <w:rPr>
          <w:rFonts w:ascii="Times New Roman" w:hAnsi="Times New Roman" w:cs="Times New Roman"/>
          <w:sz w:val="24"/>
          <w:szCs w:val="24"/>
        </w:rPr>
        <w:t xml:space="preserve"> test as applying to federal agencies).</w:t>
      </w:r>
      <w:r w:rsidRPr="003A1BAF">
        <w:rPr>
          <w:rFonts w:ascii="Times New Roman" w:hAnsi="Times New Roman" w:cs="Times New Roman"/>
          <w:sz w:val="24"/>
          <w:szCs w:val="24"/>
        </w:rPr>
        <w:t xml:space="preserve"> </w:t>
      </w:r>
      <w:r>
        <w:rPr>
          <w:rFonts w:ascii="Times New Roman" w:hAnsi="Times New Roman" w:cs="Times New Roman"/>
          <w:sz w:val="24"/>
          <w:szCs w:val="24"/>
        </w:rPr>
        <w:t xml:space="preserve">Judicial deference to Congressional delegation of rulemaking to federal agencies is appropriate </w:t>
      </w:r>
      <w:r w:rsidR="00D570C0">
        <w:rPr>
          <w:rFonts w:ascii="Times New Roman" w:hAnsi="Times New Roman" w:cs="Times New Roman"/>
          <w:sz w:val="24"/>
          <w:szCs w:val="24"/>
        </w:rPr>
        <w:t>because it shows respect for</w:t>
      </w:r>
      <w:r>
        <w:rPr>
          <w:rFonts w:ascii="Times New Roman" w:hAnsi="Times New Roman" w:cs="Times New Roman"/>
          <w:sz w:val="24"/>
          <w:szCs w:val="24"/>
        </w:rPr>
        <w:t xml:space="preserve"> </w:t>
      </w:r>
      <w:r w:rsidR="00D570C0">
        <w:rPr>
          <w:rFonts w:ascii="Times New Roman" w:hAnsi="Times New Roman" w:cs="Times New Roman"/>
          <w:sz w:val="24"/>
          <w:szCs w:val="24"/>
        </w:rPr>
        <w:t xml:space="preserve">the </w:t>
      </w:r>
      <w:r>
        <w:rPr>
          <w:rFonts w:ascii="Times New Roman" w:hAnsi="Times New Roman" w:cs="Times New Roman"/>
          <w:sz w:val="24"/>
          <w:szCs w:val="24"/>
        </w:rPr>
        <w:t>separation of powers</w:t>
      </w:r>
      <w:r w:rsidR="00D570C0">
        <w:rPr>
          <w:rFonts w:ascii="Times New Roman" w:hAnsi="Times New Roman" w:cs="Times New Roman"/>
          <w:sz w:val="24"/>
          <w:szCs w:val="24"/>
        </w:rPr>
        <w:t xml:space="preserve"> doctrine</w:t>
      </w:r>
      <w:r>
        <w:rPr>
          <w:rFonts w:ascii="Times New Roman" w:hAnsi="Times New Roman" w:cs="Times New Roman"/>
          <w:sz w:val="24"/>
          <w:szCs w:val="24"/>
        </w:rPr>
        <w:t xml:space="preserve">, a fundamental principle in American </w:t>
      </w:r>
      <w:r>
        <w:rPr>
          <w:rFonts w:ascii="Times New Roman" w:hAnsi="Times New Roman" w:cs="Times New Roman"/>
          <w:sz w:val="24"/>
          <w:szCs w:val="24"/>
        </w:rPr>
        <w:lastRenderedPageBreak/>
        <w:t xml:space="preserve">government. </w:t>
      </w:r>
      <w:r w:rsidRPr="00B828D8">
        <w:rPr>
          <w:rFonts w:ascii="Times New Roman" w:hAnsi="Times New Roman" w:cs="Times New Roman"/>
          <w:i/>
          <w:sz w:val="24"/>
          <w:szCs w:val="24"/>
        </w:rPr>
        <w:t>Id.</w:t>
      </w:r>
      <w:r>
        <w:rPr>
          <w:rFonts w:ascii="Times New Roman" w:hAnsi="Times New Roman" w:cs="Times New Roman"/>
          <w:sz w:val="24"/>
          <w:szCs w:val="24"/>
        </w:rPr>
        <w:t xml:space="preserve"> at 844-845. Since Congress and the Register are part of the same governmental branch, no separation</w:t>
      </w:r>
      <w:r w:rsidR="00D570C0">
        <w:rPr>
          <w:rFonts w:ascii="Times New Roman" w:hAnsi="Times New Roman" w:cs="Times New Roman"/>
          <w:sz w:val="24"/>
          <w:szCs w:val="24"/>
        </w:rPr>
        <w:t xml:space="preserve"> of powers argument applies to this case</w:t>
      </w:r>
      <w:r>
        <w:rPr>
          <w:rFonts w:ascii="Times New Roman" w:hAnsi="Times New Roman" w:cs="Times New Roman"/>
          <w:sz w:val="24"/>
          <w:szCs w:val="24"/>
        </w:rPr>
        <w:t>.</w:t>
      </w:r>
    </w:p>
    <w:p w14:paraId="2E519F9F" w14:textId="77777777" w:rsidR="007F38EB" w:rsidRDefault="007F38EB" w:rsidP="007F38EB">
      <w:pPr>
        <w:pStyle w:val="NoSpacing"/>
        <w:ind w:left="1440"/>
        <w:rPr>
          <w:rFonts w:ascii="Times New Roman" w:hAnsi="Times New Roman" w:cs="Times New Roman"/>
          <w:b/>
          <w:sz w:val="24"/>
          <w:szCs w:val="24"/>
        </w:rPr>
      </w:pPr>
      <w:r>
        <w:rPr>
          <w:rFonts w:ascii="Times New Roman" w:hAnsi="Times New Roman" w:cs="Times New Roman"/>
          <w:b/>
          <w:sz w:val="24"/>
          <w:szCs w:val="24"/>
        </w:rPr>
        <w:t>b</w:t>
      </w:r>
      <w:r w:rsidRPr="00BD1F86">
        <w:rPr>
          <w:rFonts w:ascii="Times New Roman" w:hAnsi="Times New Roman" w:cs="Times New Roman"/>
          <w:b/>
          <w:sz w:val="24"/>
          <w:szCs w:val="24"/>
        </w:rPr>
        <w:t xml:space="preserve">. The Court should not defer to Ringer’s personal interpretation of the statute because </w:t>
      </w:r>
      <w:r>
        <w:rPr>
          <w:rFonts w:ascii="Times New Roman" w:hAnsi="Times New Roman" w:cs="Times New Roman"/>
          <w:b/>
          <w:sz w:val="24"/>
          <w:szCs w:val="24"/>
        </w:rPr>
        <w:t>there is no evidence that Congress formally adopted her interpretation</w:t>
      </w:r>
      <w:r w:rsidRPr="00BD1F86">
        <w:rPr>
          <w:rFonts w:ascii="Times New Roman" w:hAnsi="Times New Roman" w:cs="Times New Roman"/>
          <w:b/>
          <w:sz w:val="24"/>
          <w:szCs w:val="24"/>
        </w:rPr>
        <w:t>.</w:t>
      </w:r>
    </w:p>
    <w:p w14:paraId="0C6567B0" w14:textId="77777777" w:rsidR="00263D91" w:rsidRPr="00BD1F86" w:rsidRDefault="00263D91" w:rsidP="007F38EB">
      <w:pPr>
        <w:pStyle w:val="NoSpacing"/>
        <w:ind w:left="1440"/>
        <w:rPr>
          <w:rFonts w:ascii="Times New Roman" w:hAnsi="Times New Roman" w:cs="Times New Roman"/>
          <w:b/>
          <w:sz w:val="24"/>
          <w:szCs w:val="24"/>
        </w:rPr>
      </w:pPr>
    </w:p>
    <w:p w14:paraId="29478502" w14:textId="77777777" w:rsidR="007F38EB" w:rsidRPr="003A1BAF" w:rsidRDefault="007F38EB" w:rsidP="007F38EB">
      <w:pPr>
        <w:spacing w:line="480" w:lineRule="auto"/>
        <w:ind w:firstLine="720"/>
        <w:rPr>
          <w:rFonts w:ascii="Times New Roman" w:hAnsi="Times New Roman" w:cs="Times New Roman"/>
          <w:sz w:val="24"/>
          <w:szCs w:val="24"/>
        </w:rPr>
      </w:pPr>
      <w:r>
        <w:rPr>
          <w:rFonts w:ascii="Times New Roman" w:hAnsi="Times New Roman" w:cs="Times New Roman"/>
          <w:sz w:val="24"/>
          <w:szCs w:val="24"/>
        </w:rPr>
        <w:t xml:space="preserve">The second reason the Court should not defer to Ringer’s personal opinion is the record contains no </w:t>
      </w:r>
      <w:r w:rsidRPr="003A1BAF">
        <w:rPr>
          <w:rFonts w:ascii="Times New Roman" w:hAnsi="Times New Roman" w:cs="Times New Roman"/>
          <w:sz w:val="24"/>
          <w:szCs w:val="24"/>
        </w:rPr>
        <w:t>evidence that Congress adopted Ms. Ringer’s personal interpretation on this matter</w:t>
      </w:r>
      <w:r>
        <w:rPr>
          <w:rFonts w:ascii="Times New Roman" w:hAnsi="Times New Roman" w:cs="Times New Roman"/>
          <w:sz w:val="24"/>
          <w:szCs w:val="24"/>
        </w:rPr>
        <w:t>.</w:t>
      </w:r>
      <w:r w:rsidRPr="003A1BAF">
        <w:rPr>
          <w:rFonts w:ascii="Times New Roman" w:hAnsi="Times New Roman" w:cs="Times New Roman"/>
          <w:sz w:val="24"/>
          <w:szCs w:val="24"/>
        </w:rPr>
        <w:t xml:space="preserve"> </w:t>
      </w:r>
      <w:r>
        <w:rPr>
          <w:rFonts w:ascii="Times New Roman" w:hAnsi="Times New Roman" w:cs="Times New Roman"/>
          <w:sz w:val="24"/>
          <w:szCs w:val="24"/>
        </w:rPr>
        <w:t>Ringer testified before the House Judiciary Committee in 1965, but Congress did not pass the Copyright Act until 1976. Congress had eleven years to revise the bill to formally adopt Ringer’s interpretation into the plain language of the bill, but Congress declined to do so. Given Ringer’s status as a legislative staff member and the lack of evidence, the Court should decline to read in Ringer’s interpretation as well.</w:t>
      </w:r>
    </w:p>
    <w:p w14:paraId="37C66ECD" w14:textId="77777777" w:rsidR="00170E78" w:rsidRDefault="00170E78" w:rsidP="00170E78">
      <w:pPr>
        <w:rPr>
          <w:rFonts w:ascii="Times New Roman" w:hAnsi="Times New Roman" w:cs="Times New Roman"/>
          <w:b/>
          <w:sz w:val="24"/>
          <w:szCs w:val="24"/>
        </w:rPr>
      </w:pPr>
      <w:r w:rsidRPr="000C4256">
        <w:rPr>
          <w:rFonts w:ascii="Times New Roman" w:hAnsi="Times New Roman" w:cs="Times New Roman"/>
          <w:b/>
          <w:sz w:val="24"/>
          <w:szCs w:val="24"/>
        </w:rPr>
        <w:t xml:space="preserve">C. </w:t>
      </w:r>
      <w:r>
        <w:rPr>
          <w:rFonts w:ascii="Times New Roman" w:hAnsi="Times New Roman" w:cs="Times New Roman"/>
          <w:b/>
          <w:sz w:val="24"/>
          <w:szCs w:val="24"/>
        </w:rPr>
        <w:t xml:space="preserve">The Court should adopt the Second Circuit’s interpretation of the Copyright Act of 1976 to allow post-creation contract signing when </w:t>
      </w:r>
      <w:r w:rsidR="00D570C0">
        <w:rPr>
          <w:rFonts w:ascii="Times New Roman" w:hAnsi="Times New Roman" w:cs="Times New Roman"/>
          <w:b/>
          <w:sz w:val="24"/>
          <w:szCs w:val="24"/>
        </w:rPr>
        <w:t xml:space="preserve">paired with </w:t>
      </w:r>
      <w:r>
        <w:rPr>
          <w:rFonts w:ascii="Times New Roman" w:hAnsi="Times New Roman" w:cs="Times New Roman"/>
          <w:b/>
          <w:sz w:val="24"/>
          <w:szCs w:val="24"/>
        </w:rPr>
        <w:t>a pre-creation oral agreement.</w:t>
      </w:r>
    </w:p>
    <w:p w14:paraId="5295767A" w14:textId="77777777" w:rsidR="00170E78" w:rsidRDefault="00170E78" w:rsidP="00170E78">
      <w:pPr>
        <w:spacing w:line="480" w:lineRule="auto"/>
        <w:ind w:firstLine="720"/>
        <w:rPr>
          <w:rFonts w:ascii="Times New Roman" w:hAnsi="Times New Roman" w:cs="Times New Roman"/>
          <w:sz w:val="24"/>
          <w:szCs w:val="24"/>
        </w:rPr>
      </w:pPr>
      <w:r w:rsidRPr="003A1BAF">
        <w:rPr>
          <w:rFonts w:ascii="Times New Roman" w:hAnsi="Times New Roman" w:cs="Times New Roman"/>
          <w:sz w:val="24"/>
          <w:szCs w:val="24"/>
        </w:rPr>
        <w:t>The U</w:t>
      </w:r>
      <w:r>
        <w:rPr>
          <w:rFonts w:ascii="Times New Roman" w:hAnsi="Times New Roman" w:cs="Times New Roman"/>
          <w:sz w:val="24"/>
          <w:szCs w:val="24"/>
        </w:rPr>
        <w:t>.</w:t>
      </w:r>
      <w:r w:rsidRPr="003A1BAF">
        <w:rPr>
          <w:rFonts w:ascii="Times New Roman" w:hAnsi="Times New Roman" w:cs="Times New Roman"/>
          <w:sz w:val="24"/>
          <w:szCs w:val="24"/>
        </w:rPr>
        <w:t>S</w:t>
      </w:r>
      <w:r>
        <w:rPr>
          <w:rFonts w:ascii="Times New Roman" w:hAnsi="Times New Roman" w:cs="Times New Roman"/>
          <w:sz w:val="24"/>
          <w:szCs w:val="24"/>
        </w:rPr>
        <w:t>.</w:t>
      </w:r>
      <w:r w:rsidRPr="003A1BAF">
        <w:rPr>
          <w:rFonts w:ascii="Times New Roman" w:hAnsi="Times New Roman" w:cs="Times New Roman"/>
          <w:sz w:val="24"/>
          <w:szCs w:val="24"/>
        </w:rPr>
        <w:t xml:space="preserve"> Court of Appeals </w:t>
      </w:r>
      <w:r>
        <w:rPr>
          <w:rFonts w:ascii="Times New Roman" w:hAnsi="Times New Roman" w:cs="Times New Roman"/>
          <w:sz w:val="24"/>
          <w:szCs w:val="24"/>
        </w:rPr>
        <w:t xml:space="preserve">for the First Circuit </w:t>
      </w:r>
      <w:r w:rsidRPr="003A1BAF">
        <w:rPr>
          <w:rFonts w:ascii="Times New Roman" w:hAnsi="Times New Roman" w:cs="Times New Roman"/>
          <w:sz w:val="24"/>
          <w:szCs w:val="24"/>
        </w:rPr>
        <w:t>recently acknowledged the circuit split</w:t>
      </w:r>
      <w:r>
        <w:rPr>
          <w:rFonts w:ascii="Times New Roman" w:hAnsi="Times New Roman" w:cs="Times New Roman"/>
          <w:sz w:val="24"/>
          <w:szCs w:val="24"/>
        </w:rPr>
        <w:t xml:space="preserve"> between the Second and Seventh Circuits on the issue of signing deadlines for “work made for hire” agreements.</w:t>
      </w:r>
      <w:r w:rsidRPr="003A1BAF">
        <w:rPr>
          <w:rFonts w:ascii="Times New Roman" w:hAnsi="Times New Roman" w:cs="Times New Roman"/>
          <w:sz w:val="24"/>
          <w:szCs w:val="24"/>
        </w:rPr>
        <w:t xml:space="preserve"> “The circuits are divided as to whether the language and policy require the writing before the creation or at least the completion of the work.” </w:t>
      </w:r>
      <w:r w:rsidRPr="003A1BAF">
        <w:rPr>
          <w:rFonts w:ascii="Times New Roman" w:hAnsi="Times New Roman" w:cs="Times New Roman"/>
          <w:i/>
          <w:sz w:val="24"/>
          <w:szCs w:val="24"/>
        </w:rPr>
        <w:t>TMTV</w:t>
      </w:r>
      <w:r w:rsidRPr="003A1BAF">
        <w:rPr>
          <w:rFonts w:ascii="Times New Roman" w:hAnsi="Times New Roman" w:cs="Times New Roman"/>
          <w:sz w:val="24"/>
          <w:szCs w:val="24"/>
        </w:rPr>
        <w:t xml:space="preserve"> </w:t>
      </w:r>
      <w:r w:rsidRPr="003A1BAF">
        <w:rPr>
          <w:rFonts w:ascii="Times New Roman" w:hAnsi="Times New Roman" w:cs="Times New Roman"/>
          <w:i/>
          <w:sz w:val="24"/>
          <w:szCs w:val="24"/>
        </w:rPr>
        <w:t>Corp. v. Mass. Productions</w:t>
      </w:r>
      <w:r w:rsidRPr="003A1BAF">
        <w:rPr>
          <w:rFonts w:ascii="Times New Roman" w:hAnsi="Times New Roman" w:cs="Times New Roman"/>
          <w:sz w:val="24"/>
          <w:szCs w:val="24"/>
        </w:rPr>
        <w:t>, 645 F.3d 464, 470</w:t>
      </w:r>
      <w:r>
        <w:rPr>
          <w:rFonts w:ascii="Times New Roman" w:hAnsi="Times New Roman" w:cs="Times New Roman"/>
          <w:sz w:val="24"/>
          <w:szCs w:val="24"/>
        </w:rPr>
        <w:t xml:space="preserve"> (2011)</w:t>
      </w:r>
      <w:r w:rsidRPr="003A1BAF">
        <w:rPr>
          <w:rFonts w:ascii="Times New Roman" w:hAnsi="Times New Roman" w:cs="Times New Roman"/>
          <w:sz w:val="24"/>
          <w:szCs w:val="24"/>
        </w:rPr>
        <w:t>. However, the Second Circuit’s decision is the most recent, and it s</w:t>
      </w:r>
      <w:r>
        <w:rPr>
          <w:rFonts w:ascii="Times New Roman" w:hAnsi="Times New Roman" w:cs="Times New Roman"/>
          <w:sz w:val="24"/>
          <w:szCs w:val="24"/>
        </w:rPr>
        <w:t>hould be the determinative precedent for the case at hand.</w:t>
      </w:r>
    </w:p>
    <w:p w14:paraId="4AEF1583" w14:textId="77777777" w:rsidR="00170E78" w:rsidRDefault="00170E78" w:rsidP="00170E78">
      <w:pPr>
        <w:pStyle w:val="NoSpacing"/>
        <w:ind w:left="720"/>
        <w:rPr>
          <w:rFonts w:ascii="Times New Roman" w:hAnsi="Times New Roman" w:cs="Times New Roman"/>
          <w:b/>
          <w:sz w:val="24"/>
          <w:szCs w:val="24"/>
        </w:rPr>
      </w:pPr>
      <w:r w:rsidRPr="00D876FD">
        <w:rPr>
          <w:rFonts w:ascii="Times New Roman" w:hAnsi="Times New Roman" w:cs="Times New Roman"/>
          <w:b/>
          <w:sz w:val="24"/>
          <w:szCs w:val="24"/>
        </w:rPr>
        <w:t>1. The Second Circuit’s precedent should be dispositive</w:t>
      </w:r>
      <w:r w:rsidR="00263D91">
        <w:rPr>
          <w:rFonts w:ascii="Times New Roman" w:hAnsi="Times New Roman" w:cs="Times New Roman"/>
          <w:b/>
          <w:sz w:val="24"/>
          <w:szCs w:val="24"/>
        </w:rPr>
        <w:t xml:space="preserve"> for Plaintiff</w:t>
      </w:r>
      <w:r w:rsidRPr="00D876FD">
        <w:rPr>
          <w:rFonts w:ascii="Times New Roman" w:hAnsi="Times New Roman" w:cs="Times New Roman"/>
          <w:b/>
          <w:sz w:val="24"/>
          <w:szCs w:val="24"/>
        </w:rPr>
        <w:t xml:space="preserve"> because its facts and reasoning are most relevant to the present case. </w:t>
      </w:r>
    </w:p>
    <w:p w14:paraId="511931B5" w14:textId="77777777" w:rsidR="00170E78" w:rsidRPr="00D876FD" w:rsidRDefault="00170E78" w:rsidP="00170E78">
      <w:pPr>
        <w:pStyle w:val="NoSpacing"/>
        <w:ind w:left="720"/>
        <w:rPr>
          <w:rFonts w:ascii="Times New Roman" w:hAnsi="Times New Roman" w:cs="Times New Roman"/>
          <w:b/>
          <w:sz w:val="24"/>
          <w:szCs w:val="24"/>
        </w:rPr>
      </w:pPr>
    </w:p>
    <w:p w14:paraId="4E94D4E7" w14:textId="77777777" w:rsidR="00170E78" w:rsidRDefault="00170E78" w:rsidP="00170E78">
      <w:pPr>
        <w:tabs>
          <w:tab w:val="num" w:pos="2160"/>
        </w:tabs>
        <w:spacing w:after="0" w:line="480" w:lineRule="auto"/>
        <w:ind w:left="720"/>
        <w:rPr>
          <w:rFonts w:ascii="Times New Roman" w:hAnsi="Times New Roman" w:cs="Times New Roman"/>
          <w:sz w:val="24"/>
          <w:szCs w:val="24"/>
        </w:rPr>
      </w:pPr>
      <w:r>
        <w:rPr>
          <w:rFonts w:ascii="Times New Roman" w:hAnsi="Times New Roman" w:cs="Times New Roman"/>
          <w:sz w:val="24"/>
          <w:szCs w:val="24"/>
        </w:rPr>
        <w:t>The Second Circuit held that a post-creation signing of a “work made for hire” written</w:t>
      </w:r>
    </w:p>
    <w:p w14:paraId="3EB88E31" w14:textId="77777777" w:rsidR="00263D91" w:rsidRDefault="00170E78" w:rsidP="00263D91">
      <w:pPr>
        <w:tabs>
          <w:tab w:val="num" w:pos="2160"/>
        </w:tabs>
        <w:spacing w:after="0" w:line="480" w:lineRule="auto"/>
        <w:rPr>
          <w:rFonts w:ascii="Times New Roman" w:hAnsi="Times New Roman" w:cs="Times New Roman"/>
          <w:sz w:val="24"/>
          <w:szCs w:val="24"/>
        </w:rPr>
      </w:pPr>
      <w:proofErr w:type="gramStart"/>
      <w:r>
        <w:rPr>
          <w:rFonts w:ascii="Times New Roman" w:hAnsi="Times New Roman" w:cs="Times New Roman"/>
          <w:sz w:val="24"/>
          <w:szCs w:val="24"/>
        </w:rPr>
        <w:lastRenderedPageBreak/>
        <w:t>agreement</w:t>
      </w:r>
      <w:proofErr w:type="gramEnd"/>
      <w:r>
        <w:rPr>
          <w:rFonts w:ascii="Times New Roman" w:hAnsi="Times New Roman" w:cs="Times New Roman"/>
          <w:sz w:val="24"/>
          <w:szCs w:val="24"/>
        </w:rPr>
        <w:t xml:space="preserve"> is acceptable, provided that the parties formed a pre-creation oral “work made for hire” agreement. </w:t>
      </w:r>
      <w:r>
        <w:rPr>
          <w:rFonts w:ascii="Times New Roman" w:eastAsia="Times New Roman" w:hAnsi="Times New Roman" w:cs="Times New Roman"/>
          <w:i/>
          <w:iCs/>
          <w:color w:val="000000"/>
          <w:sz w:val="24"/>
          <w:szCs w:val="24"/>
        </w:rPr>
        <w:t>Playboy Enters. v. Dumas</w:t>
      </w:r>
      <w:r>
        <w:rPr>
          <w:rFonts w:ascii="Times New Roman" w:eastAsia="Times New Roman" w:hAnsi="Times New Roman" w:cs="Times New Roman"/>
          <w:color w:val="000000"/>
          <w:sz w:val="24"/>
          <w:szCs w:val="24"/>
        </w:rPr>
        <w:t xml:space="preserve">, 53 F.3d 549, 559 (2nd Cir. 1995). </w:t>
      </w:r>
      <w:r>
        <w:rPr>
          <w:rFonts w:ascii="Times New Roman" w:hAnsi="Times New Roman" w:cs="Times New Roman"/>
          <w:sz w:val="24"/>
          <w:szCs w:val="24"/>
        </w:rPr>
        <w:t xml:space="preserve">The </w:t>
      </w:r>
      <w:r w:rsidRPr="00A75AAB">
        <w:rPr>
          <w:rFonts w:ascii="Times New Roman" w:hAnsi="Times New Roman" w:cs="Times New Roman"/>
          <w:i/>
          <w:sz w:val="24"/>
          <w:szCs w:val="24"/>
        </w:rPr>
        <w:t xml:space="preserve">Playboy </w:t>
      </w:r>
      <w:r>
        <w:rPr>
          <w:rFonts w:ascii="Times New Roman" w:hAnsi="Times New Roman" w:cs="Times New Roman"/>
          <w:i/>
          <w:sz w:val="24"/>
          <w:szCs w:val="24"/>
        </w:rPr>
        <w:t>c</w:t>
      </w:r>
      <w:r>
        <w:rPr>
          <w:rFonts w:ascii="Times New Roman" w:hAnsi="Times New Roman" w:cs="Times New Roman"/>
          <w:sz w:val="24"/>
          <w:szCs w:val="24"/>
        </w:rPr>
        <w:t xml:space="preserve">ase concerned a copyright dispute over the ownership rights to 285 pieces of artwork created for </w:t>
      </w:r>
      <w:r w:rsidRPr="00F14242">
        <w:rPr>
          <w:rFonts w:ascii="Times New Roman" w:hAnsi="Times New Roman" w:cs="Times New Roman"/>
          <w:sz w:val="24"/>
          <w:szCs w:val="24"/>
          <w:u w:val="single"/>
        </w:rPr>
        <w:t>Playboy</w:t>
      </w:r>
      <w:r w:rsidRPr="00F14242">
        <w:rPr>
          <w:rFonts w:ascii="Times New Roman" w:hAnsi="Times New Roman" w:cs="Times New Roman"/>
          <w:sz w:val="24"/>
          <w:szCs w:val="24"/>
        </w:rPr>
        <w:t xml:space="preserve"> </w:t>
      </w:r>
      <w:r>
        <w:rPr>
          <w:rFonts w:ascii="Times New Roman" w:hAnsi="Times New Roman" w:cs="Times New Roman"/>
          <w:sz w:val="24"/>
          <w:szCs w:val="24"/>
        </w:rPr>
        <w:t xml:space="preserve">magazine from 1974 to 1984. </w:t>
      </w:r>
      <w:r w:rsidRPr="00F14242">
        <w:rPr>
          <w:rFonts w:ascii="Times New Roman" w:hAnsi="Times New Roman" w:cs="Times New Roman"/>
          <w:sz w:val="24"/>
          <w:szCs w:val="24"/>
          <w:u w:val="single"/>
        </w:rPr>
        <w:t>Playboy</w:t>
      </w:r>
      <w:r>
        <w:rPr>
          <w:rFonts w:ascii="Times New Roman" w:hAnsi="Times New Roman" w:cs="Times New Roman"/>
          <w:sz w:val="24"/>
          <w:szCs w:val="24"/>
        </w:rPr>
        <w:t xml:space="preserve"> claimed copyright ownersh</w:t>
      </w:r>
      <w:r w:rsidR="00263D91">
        <w:rPr>
          <w:rFonts w:ascii="Times New Roman" w:hAnsi="Times New Roman" w:cs="Times New Roman"/>
          <w:sz w:val="24"/>
          <w:szCs w:val="24"/>
        </w:rPr>
        <w:t>ip over the artwork because the magazine</w:t>
      </w:r>
      <w:r>
        <w:rPr>
          <w:rFonts w:ascii="Times New Roman" w:hAnsi="Times New Roman" w:cs="Times New Roman"/>
          <w:sz w:val="24"/>
          <w:szCs w:val="24"/>
        </w:rPr>
        <w:t xml:space="preserve"> had commissioned </w:t>
      </w:r>
      <w:r w:rsidR="00263D91">
        <w:rPr>
          <w:rFonts w:ascii="Times New Roman" w:hAnsi="Times New Roman" w:cs="Times New Roman"/>
          <w:sz w:val="24"/>
          <w:szCs w:val="24"/>
        </w:rPr>
        <w:t xml:space="preserve">the art pieces under </w:t>
      </w:r>
      <w:r>
        <w:rPr>
          <w:rFonts w:ascii="Times New Roman" w:hAnsi="Times New Roman" w:cs="Times New Roman"/>
          <w:sz w:val="24"/>
          <w:szCs w:val="24"/>
        </w:rPr>
        <w:t xml:space="preserve">a </w:t>
      </w:r>
      <w:r w:rsidR="00263D91">
        <w:rPr>
          <w:rFonts w:ascii="Times New Roman" w:hAnsi="Times New Roman" w:cs="Times New Roman"/>
          <w:sz w:val="24"/>
          <w:szCs w:val="24"/>
        </w:rPr>
        <w:t xml:space="preserve">signed “work made for hire” agreement. </w:t>
      </w:r>
    </w:p>
    <w:p w14:paraId="4933B356" w14:textId="77777777" w:rsidR="00170E78" w:rsidRPr="00263D91" w:rsidRDefault="00263D91" w:rsidP="00263D91">
      <w:pPr>
        <w:tabs>
          <w:tab w:val="num" w:pos="2160"/>
        </w:tabs>
        <w:spacing w:after="0" w:line="480" w:lineRule="auto"/>
        <w:rPr>
          <w:rFonts w:ascii="Times New Roman" w:hAnsi="Times New Roman" w:cs="Times New Roman"/>
          <w:sz w:val="24"/>
          <w:szCs w:val="24"/>
        </w:rPr>
      </w:pPr>
      <w:r>
        <w:rPr>
          <w:rFonts w:ascii="Times New Roman" w:hAnsi="Times New Roman" w:cs="Times New Roman"/>
          <w:sz w:val="24"/>
          <w:szCs w:val="24"/>
        </w:rPr>
        <w:t xml:space="preserve">            T</w:t>
      </w:r>
      <w:r w:rsidR="00170E78">
        <w:rPr>
          <w:rFonts w:ascii="Times New Roman" w:hAnsi="Times New Roman" w:cs="Times New Roman"/>
          <w:sz w:val="24"/>
          <w:szCs w:val="24"/>
        </w:rPr>
        <w:t xml:space="preserve">he Second Circuit held, </w:t>
      </w:r>
      <w:r w:rsidR="00170E78">
        <w:rPr>
          <w:rFonts w:ascii="Times New Roman" w:eastAsia="Times New Roman" w:hAnsi="Times New Roman" w:cs="Times New Roman"/>
          <w:color w:val="000000"/>
          <w:sz w:val="24"/>
          <w:szCs w:val="24"/>
        </w:rPr>
        <w:t>“In the fact pattern of this case, we will assume that</w:t>
      </w:r>
      <w:r>
        <w:rPr>
          <w:rFonts w:ascii="Times New Roman" w:eastAsia="Times New Roman" w:hAnsi="Times New Roman" w:cs="Times New Roman"/>
          <w:color w:val="000000"/>
          <w:sz w:val="24"/>
          <w:szCs w:val="24"/>
        </w:rPr>
        <w:t xml:space="preserve"> the</w:t>
      </w:r>
      <w:r w:rsidR="00170E78">
        <w:rPr>
          <w:rFonts w:ascii="Times New Roman" w:eastAsia="Times New Roman" w:hAnsi="Times New Roman" w:cs="Times New Roman"/>
          <w:color w:val="000000"/>
          <w:sz w:val="24"/>
          <w:szCs w:val="24"/>
        </w:rPr>
        <w:t xml:space="preserve"> writing requirement of §101(2) can be met by a writing executed after the work is created, if the writing confirms a prior agreement, either explicit or implicit, made before the creation of the work.” </w:t>
      </w:r>
      <w:r w:rsidR="00170E78">
        <w:rPr>
          <w:rFonts w:ascii="Times New Roman" w:eastAsia="Times New Roman" w:hAnsi="Times New Roman" w:cs="Times New Roman"/>
          <w:i/>
          <w:iCs/>
          <w:color w:val="000000"/>
          <w:sz w:val="24"/>
          <w:szCs w:val="24"/>
        </w:rPr>
        <w:t>Playboy Enters. v. Dumas</w:t>
      </w:r>
      <w:r w:rsidR="00170E78">
        <w:rPr>
          <w:rFonts w:ascii="Times New Roman" w:eastAsia="Times New Roman" w:hAnsi="Times New Roman" w:cs="Times New Roman"/>
          <w:color w:val="000000"/>
          <w:sz w:val="24"/>
          <w:szCs w:val="24"/>
        </w:rPr>
        <w:t>, 53 F.3d 549, 559 (2nd Cir. 1995).</w:t>
      </w:r>
    </w:p>
    <w:p w14:paraId="5F73B34C" w14:textId="77777777" w:rsidR="00170E78" w:rsidRDefault="00170E78" w:rsidP="00170E78">
      <w:pPr>
        <w:pStyle w:val="BodyText"/>
        <w:spacing w:line="480" w:lineRule="auto"/>
        <w:ind w:firstLine="720"/>
        <w:jc w:val="left"/>
        <w:rPr>
          <w:szCs w:val="24"/>
        </w:rPr>
      </w:pPr>
      <w:r>
        <w:rPr>
          <w:color w:val="000000"/>
          <w:szCs w:val="24"/>
        </w:rPr>
        <w:t xml:space="preserve">This ruling perfectly describes the fact pattern of the case at hand. The parties agreed before the creation of the work that the screenplay would be a “work made for hire.” </w:t>
      </w:r>
      <w:proofErr w:type="spellStart"/>
      <w:r w:rsidRPr="00935A0F">
        <w:rPr>
          <w:szCs w:val="24"/>
        </w:rPr>
        <w:t>C</w:t>
      </w:r>
      <w:r>
        <w:rPr>
          <w:szCs w:val="24"/>
        </w:rPr>
        <w:t>ompl</w:t>
      </w:r>
      <w:proofErr w:type="spellEnd"/>
      <w:r>
        <w:rPr>
          <w:szCs w:val="24"/>
        </w:rPr>
        <w:t>.</w:t>
      </w:r>
      <w:r w:rsidRPr="00935A0F">
        <w:rPr>
          <w:szCs w:val="24"/>
        </w:rPr>
        <w:t xml:space="preserve"> ¶ 1</w:t>
      </w:r>
      <w:r>
        <w:rPr>
          <w:szCs w:val="24"/>
        </w:rPr>
        <w:t xml:space="preserve">6. Before Lime created the screenplay, </w:t>
      </w:r>
      <w:r w:rsidRPr="00935A0F">
        <w:rPr>
          <w:szCs w:val="24"/>
        </w:rPr>
        <w:t xml:space="preserve">Nelson </w:t>
      </w:r>
      <w:r>
        <w:rPr>
          <w:szCs w:val="24"/>
        </w:rPr>
        <w:t xml:space="preserve">confirmed Lime </w:t>
      </w:r>
      <w:r w:rsidRPr="00935A0F">
        <w:rPr>
          <w:szCs w:val="24"/>
        </w:rPr>
        <w:t xml:space="preserve">understood the agreement included the </w:t>
      </w:r>
      <w:r>
        <w:rPr>
          <w:szCs w:val="24"/>
        </w:rPr>
        <w:t>“work made for hire” provision and that she agreed to</w:t>
      </w:r>
      <w:r w:rsidRPr="00935A0F">
        <w:rPr>
          <w:szCs w:val="24"/>
        </w:rPr>
        <w:t xml:space="preserve"> </w:t>
      </w:r>
      <w:r>
        <w:rPr>
          <w:szCs w:val="24"/>
        </w:rPr>
        <w:t>such a provision.</w:t>
      </w:r>
      <w:r w:rsidRPr="00935A0F">
        <w:rPr>
          <w:szCs w:val="24"/>
        </w:rPr>
        <w:t xml:space="preserve"> </w:t>
      </w:r>
      <w:proofErr w:type="spellStart"/>
      <w:r>
        <w:rPr>
          <w:szCs w:val="24"/>
        </w:rPr>
        <w:t>Compl</w:t>
      </w:r>
      <w:proofErr w:type="spellEnd"/>
      <w:proofErr w:type="gramStart"/>
      <w:r>
        <w:rPr>
          <w:szCs w:val="24"/>
        </w:rPr>
        <w:t>.</w:t>
      </w:r>
      <w:r w:rsidRPr="00935A0F">
        <w:rPr>
          <w:szCs w:val="24"/>
        </w:rPr>
        <w:t>¶</w:t>
      </w:r>
      <w:proofErr w:type="gramEnd"/>
      <w:r w:rsidRPr="00935A0F">
        <w:rPr>
          <w:szCs w:val="24"/>
        </w:rPr>
        <w:t xml:space="preserve"> 17.</w:t>
      </w:r>
      <w:r>
        <w:rPr>
          <w:szCs w:val="24"/>
        </w:rPr>
        <w:t xml:space="preserve"> The oral agreement between Nelson, as an agent for Plaintiff, and Lime occurred on March 27, 2010.</w:t>
      </w:r>
      <w:r w:rsidRPr="00935A0F">
        <w:rPr>
          <w:szCs w:val="24"/>
        </w:rPr>
        <w:t xml:space="preserve"> </w:t>
      </w:r>
      <w:proofErr w:type="spellStart"/>
      <w:r>
        <w:rPr>
          <w:szCs w:val="24"/>
        </w:rPr>
        <w:t>Compl</w:t>
      </w:r>
      <w:proofErr w:type="spellEnd"/>
      <w:r>
        <w:rPr>
          <w:szCs w:val="24"/>
        </w:rPr>
        <w:t>. ¶ 13</w:t>
      </w:r>
      <w:r w:rsidRPr="00935A0F">
        <w:rPr>
          <w:szCs w:val="24"/>
        </w:rPr>
        <w:t>.</w:t>
      </w:r>
      <w:r>
        <w:rPr>
          <w:szCs w:val="24"/>
        </w:rPr>
        <w:t xml:space="preserve"> After Lime completed the screenplay, the parties signed the expressed contract on April 6, 2010.</w:t>
      </w:r>
      <w:r w:rsidRPr="00935A0F">
        <w:rPr>
          <w:szCs w:val="24"/>
        </w:rPr>
        <w:t xml:space="preserve"> </w:t>
      </w:r>
      <w:proofErr w:type="spellStart"/>
      <w:r>
        <w:rPr>
          <w:szCs w:val="24"/>
        </w:rPr>
        <w:t>Compl</w:t>
      </w:r>
      <w:proofErr w:type="spellEnd"/>
      <w:r>
        <w:rPr>
          <w:szCs w:val="24"/>
        </w:rPr>
        <w:t>. ¶ 25</w:t>
      </w:r>
      <w:r w:rsidRPr="00935A0F">
        <w:rPr>
          <w:szCs w:val="24"/>
        </w:rPr>
        <w:t>.</w:t>
      </w:r>
      <w:r>
        <w:rPr>
          <w:szCs w:val="24"/>
        </w:rPr>
        <w:t xml:space="preserve"> The signed contract confirmed the previous oral agreement. Therefore, the post-creation signed contract meets all the requirements under the Second Circuit’s </w:t>
      </w:r>
      <w:r w:rsidRPr="00C83693">
        <w:rPr>
          <w:i/>
          <w:szCs w:val="24"/>
        </w:rPr>
        <w:t xml:space="preserve">Playboy </w:t>
      </w:r>
      <w:r>
        <w:rPr>
          <w:szCs w:val="24"/>
        </w:rPr>
        <w:t>test to be a valid “work made for hire” agreement.</w:t>
      </w:r>
    </w:p>
    <w:p w14:paraId="74B24844" w14:textId="77777777" w:rsidR="00170E78" w:rsidRDefault="00170E78" w:rsidP="00170E78">
      <w:pPr>
        <w:pStyle w:val="NoSpacing"/>
        <w:ind w:left="720"/>
        <w:rPr>
          <w:rFonts w:ascii="Times New Roman" w:hAnsi="Times New Roman" w:cs="Times New Roman"/>
          <w:b/>
          <w:sz w:val="24"/>
          <w:szCs w:val="24"/>
        </w:rPr>
      </w:pPr>
      <w:r w:rsidRPr="00C83693">
        <w:rPr>
          <w:rFonts w:ascii="Times New Roman" w:hAnsi="Times New Roman" w:cs="Times New Roman"/>
          <w:b/>
          <w:sz w:val="24"/>
          <w:szCs w:val="24"/>
        </w:rPr>
        <w:t>2. The Seventh Circuit</w:t>
      </w:r>
      <w:r>
        <w:rPr>
          <w:rFonts w:ascii="Times New Roman" w:hAnsi="Times New Roman" w:cs="Times New Roman"/>
          <w:b/>
          <w:sz w:val="24"/>
          <w:szCs w:val="24"/>
        </w:rPr>
        <w:t xml:space="preserve">’s reasoning in </w:t>
      </w:r>
      <w:r w:rsidRPr="00C83693">
        <w:rPr>
          <w:rFonts w:ascii="Times New Roman" w:hAnsi="Times New Roman" w:cs="Times New Roman"/>
          <w:b/>
          <w:i/>
          <w:sz w:val="24"/>
          <w:szCs w:val="24"/>
        </w:rPr>
        <w:t xml:space="preserve">Schiller &amp; Schmidt v. </w:t>
      </w:r>
      <w:proofErr w:type="spellStart"/>
      <w:r w:rsidRPr="00C83693">
        <w:rPr>
          <w:rFonts w:ascii="Times New Roman" w:hAnsi="Times New Roman" w:cs="Times New Roman"/>
          <w:b/>
          <w:i/>
          <w:sz w:val="24"/>
          <w:szCs w:val="24"/>
        </w:rPr>
        <w:t>Nordisco</w:t>
      </w:r>
      <w:proofErr w:type="spellEnd"/>
      <w:r w:rsidRPr="00C83693">
        <w:rPr>
          <w:rFonts w:ascii="Times New Roman" w:hAnsi="Times New Roman" w:cs="Times New Roman"/>
          <w:b/>
          <w:i/>
          <w:sz w:val="24"/>
          <w:szCs w:val="24"/>
        </w:rPr>
        <w:t xml:space="preserve"> Corp.</w:t>
      </w:r>
      <w:r w:rsidRPr="00C83693">
        <w:rPr>
          <w:rFonts w:ascii="Times New Roman" w:hAnsi="Times New Roman" w:cs="Times New Roman"/>
          <w:b/>
          <w:sz w:val="24"/>
          <w:szCs w:val="24"/>
        </w:rPr>
        <w:t xml:space="preserve"> is not applicable to the present case because the facts are substantially different.</w:t>
      </w:r>
    </w:p>
    <w:p w14:paraId="768B5ADA" w14:textId="77777777" w:rsidR="00170E78" w:rsidRDefault="00170E78" w:rsidP="00170E78">
      <w:pPr>
        <w:pStyle w:val="NoSpacing"/>
        <w:ind w:left="720"/>
        <w:rPr>
          <w:rFonts w:ascii="Times New Roman" w:hAnsi="Times New Roman" w:cs="Times New Roman"/>
          <w:b/>
          <w:sz w:val="24"/>
          <w:szCs w:val="24"/>
        </w:rPr>
      </w:pPr>
    </w:p>
    <w:p w14:paraId="5B294AAA" w14:textId="77777777" w:rsidR="00170E78" w:rsidRPr="00D62BF6" w:rsidRDefault="00170E78" w:rsidP="00170E78">
      <w:pPr>
        <w:pStyle w:val="BodyText"/>
        <w:spacing w:line="480" w:lineRule="auto"/>
        <w:ind w:firstLine="720"/>
        <w:jc w:val="left"/>
        <w:rPr>
          <w:szCs w:val="24"/>
        </w:rPr>
      </w:pPr>
      <w:r>
        <w:rPr>
          <w:szCs w:val="24"/>
        </w:rPr>
        <w:t xml:space="preserve">The precedent from the Seventh Circuit is easily distinguishable from the facts at hand. In </w:t>
      </w:r>
      <w:r w:rsidRPr="005A4169">
        <w:rPr>
          <w:i/>
          <w:szCs w:val="24"/>
        </w:rPr>
        <w:t xml:space="preserve">Schiller &amp; Schmidt v. </w:t>
      </w:r>
      <w:proofErr w:type="spellStart"/>
      <w:r w:rsidRPr="005A4169">
        <w:rPr>
          <w:i/>
          <w:szCs w:val="24"/>
        </w:rPr>
        <w:t>Nordisco</w:t>
      </w:r>
      <w:proofErr w:type="spellEnd"/>
      <w:r>
        <w:rPr>
          <w:szCs w:val="24"/>
        </w:rPr>
        <w:t xml:space="preserve">, the parties never established an oral agreement before creating the work. Therefore, the Seventh Circuit required the written statement to precede the creation of </w:t>
      </w:r>
      <w:r>
        <w:rPr>
          <w:szCs w:val="24"/>
        </w:rPr>
        <w:lastRenderedPageBreak/>
        <w:t xml:space="preserve">the “work made for hire” product. </w:t>
      </w:r>
      <w:r>
        <w:rPr>
          <w:i/>
          <w:iCs/>
          <w:color w:val="000000"/>
          <w:szCs w:val="24"/>
        </w:rPr>
        <w:t xml:space="preserve">Schiller &amp; Schmidt Inc. v. </w:t>
      </w:r>
      <w:proofErr w:type="spellStart"/>
      <w:r>
        <w:rPr>
          <w:i/>
          <w:iCs/>
          <w:color w:val="000000"/>
          <w:szCs w:val="24"/>
        </w:rPr>
        <w:t>Nordisco</w:t>
      </w:r>
      <w:proofErr w:type="spellEnd"/>
      <w:r>
        <w:rPr>
          <w:i/>
          <w:iCs/>
          <w:color w:val="000000"/>
          <w:szCs w:val="24"/>
        </w:rPr>
        <w:t xml:space="preserve"> Corp.</w:t>
      </w:r>
      <w:r>
        <w:rPr>
          <w:color w:val="000000"/>
          <w:szCs w:val="24"/>
        </w:rPr>
        <w:t>, 969 F2d 410, 412 (7th Cir. 1992). The absence of this oral agreement creates a substantial difference in the facts and is material to distinguishing the holdings between the Circuit</w:t>
      </w:r>
      <w:r w:rsidR="00263D91">
        <w:rPr>
          <w:color w:val="000000"/>
          <w:szCs w:val="24"/>
        </w:rPr>
        <w:t xml:space="preserve"> Court</w:t>
      </w:r>
      <w:r>
        <w:rPr>
          <w:color w:val="000000"/>
          <w:szCs w:val="24"/>
        </w:rPr>
        <w:t>s.</w:t>
      </w:r>
    </w:p>
    <w:p w14:paraId="5A224422" w14:textId="77777777" w:rsidR="00170E78" w:rsidRPr="00C83693" w:rsidRDefault="00170E78" w:rsidP="00170E78">
      <w:pPr>
        <w:pStyle w:val="NoSpacing"/>
        <w:ind w:left="720"/>
        <w:rPr>
          <w:rFonts w:ascii="Times New Roman" w:hAnsi="Times New Roman" w:cs="Times New Roman"/>
          <w:b/>
          <w:sz w:val="24"/>
          <w:szCs w:val="24"/>
        </w:rPr>
      </w:pPr>
    </w:p>
    <w:p w14:paraId="6F9CA729" w14:textId="77777777" w:rsidR="00170E78" w:rsidRPr="00732B8D" w:rsidRDefault="00170E78" w:rsidP="00170E78">
      <w:pPr>
        <w:pStyle w:val="NoSpacing"/>
        <w:ind w:left="720"/>
        <w:rPr>
          <w:rFonts w:ascii="Times New Roman" w:hAnsi="Times New Roman" w:cs="Times New Roman"/>
          <w:b/>
          <w:sz w:val="24"/>
          <w:szCs w:val="24"/>
        </w:rPr>
      </w:pPr>
      <w:r w:rsidRPr="00732B8D">
        <w:rPr>
          <w:rFonts w:ascii="Times New Roman" w:hAnsi="Times New Roman" w:cs="Times New Roman"/>
          <w:b/>
          <w:sz w:val="24"/>
          <w:szCs w:val="24"/>
        </w:rPr>
        <w:t xml:space="preserve">3. The Court should not apply the Seventh Circuit’s reasoning in Schiller because </w:t>
      </w:r>
      <w:r>
        <w:rPr>
          <w:rFonts w:ascii="Times New Roman" w:hAnsi="Times New Roman" w:cs="Times New Roman"/>
          <w:b/>
          <w:sz w:val="24"/>
          <w:szCs w:val="24"/>
        </w:rPr>
        <w:t>the Seventh Circuit’s</w:t>
      </w:r>
      <w:r w:rsidRPr="00732B8D">
        <w:rPr>
          <w:rFonts w:ascii="Times New Roman" w:hAnsi="Times New Roman" w:cs="Times New Roman"/>
          <w:b/>
          <w:sz w:val="24"/>
          <w:szCs w:val="24"/>
        </w:rPr>
        <w:t xml:space="preserve"> policy concerns are not relevant to the present case.</w:t>
      </w:r>
    </w:p>
    <w:p w14:paraId="67C5D5CA" w14:textId="77777777" w:rsidR="00170E78" w:rsidRDefault="00170E78" w:rsidP="00170E78">
      <w:pPr>
        <w:pStyle w:val="NoSpacing"/>
      </w:pPr>
    </w:p>
    <w:p w14:paraId="2BA79700" w14:textId="77777777" w:rsidR="00D721AF" w:rsidRDefault="00170E78" w:rsidP="00F34B08">
      <w:pPr>
        <w:spacing w:line="480" w:lineRule="auto"/>
        <w:ind w:firstLine="720"/>
        <w:rPr>
          <w:rFonts w:ascii="Times New Roman" w:eastAsia="Times New Roman" w:hAnsi="Times New Roman" w:cs="Times New Roman"/>
          <w:color w:val="000000"/>
          <w:sz w:val="24"/>
          <w:szCs w:val="24"/>
        </w:rPr>
      </w:pPr>
      <w:r>
        <w:rPr>
          <w:rFonts w:ascii="Times New Roman" w:hAnsi="Times New Roman" w:cs="Times New Roman"/>
          <w:sz w:val="24"/>
          <w:szCs w:val="24"/>
        </w:rPr>
        <w:t xml:space="preserve">In </w:t>
      </w:r>
      <w:r w:rsidRPr="00732B8D">
        <w:rPr>
          <w:rFonts w:ascii="Times New Roman" w:hAnsi="Times New Roman" w:cs="Times New Roman"/>
          <w:i/>
          <w:sz w:val="24"/>
          <w:szCs w:val="24"/>
        </w:rPr>
        <w:t>Playboy</w:t>
      </w:r>
      <w:r>
        <w:rPr>
          <w:rFonts w:ascii="Times New Roman" w:hAnsi="Times New Roman" w:cs="Times New Roman"/>
          <w:sz w:val="24"/>
          <w:szCs w:val="24"/>
        </w:rPr>
        <w:t xml:space="preserve">, the Second Circuit declined to apply the Seventh Circuit’s reasoning from </w:t>
      </w:r>
      <w:r w:rsidRPr="00732B8D">
        <w:rPr>
          <w:rFonts w:ascii="Times New Roman" w:hAnsi="Times New Roman" w:cs="Times New Roman"/>
          <w:i/>
          <w:sz w:val="24"/>
          <w:szCs w:val="24"/>
        </w:rPr>
        <w:t xml:space="preserve">Schiller &amp; Schmidt v. </w:t>
      </w:r>
      <w:proofErr w:type="spellStart"/>
      <w:r w:rsidRPr="00732B8D">
        <w:rPr>
          <w:rFonts w:ascii="Times New Roman" w:hAnsi="Times New Roman" w:cs="Times New Roman"/>
          <w:i/>
          <w:sz w:val="24"/>
          <w:szCs w:val="24"/>
        </w:rPr>
        <w:t>Nordisco</w:t>
      </w:r>
      <w:proofErr w:type="spellEnd"/>
      <w:r w:rsidRPr="00732B8D">
        <w:rPr>
          <w:rFonts w:ascii="Times New Roman" w:hAnsi="Times New Roman" w:cs="Times New Roman"/>
          <w:i/>
          <w:sz w:val="24"/>
          <w:szCs w:val="24"/>
        </w:rPr>
        <w:t xml:space="preserve"> Corp.</w:t>
      </w:r>
      <w:r>
        <w:rPr>
          <w:rFonts w:ascii="Times New Roman" w:hAnsi="Times New Roman" w:cs="Times New Roman"/>
          <w:sz w:val="24"/>
          <w:szCs w:val="24"/>
        </w:rPr>
        <w:t xml:space="preserve"> because the Seventh Circuit’s policy concerns were not relevant in the presence of </w:t>
      </w:r>
      <w:r w:rsidRPr="00732B8D">
        <w:rPr>
          <w:rFonts w:ascii="Times New Roman" w:hAnsi="Times New Roman" w:cs="Times New Roman"/>
          <w:i/>
          <w:sz w:val="24"/>
          <w:szCs w:val="24"/>
        </w:rPr>
        <w:t>Playboy</w:t>
      </w:r>
      <w:r>
        <w:rPr>
          <w:rFonts w:ascii="Times New Roman" w:hAnsi="Times New Roman" w:cs="Times New Roman"/>
          <w:sz w:val="24"/>
          <w:szCs w:val="24"/>
        </w:rPr>
        <w:t xml:space="preserve">’s pre-creation oral agreement. “We agree with the Seventh Circuit that the writing requirement was created, in part, to make the ownership of intellectual property rights clear and definite.” </w:t>
      </w:r>
      <w:r>
        <w:rPr>
          <w:rFonts w:ascii="Times New Roman" w:eastAsia="Times New Roman" w:hAnsi="Times New Roman" w:cs="Times New Roman"/>
          <w:i/>
          <w:iCs/>
          <w:color w:val="000000"/>
          <w:sz w:val="24"/>
          <w:szCs w:val="24"/>
        </w:rPr>
        <w:t>Playboy Enters. v. Dumas</w:t>
      </w:r>
      <w:r>
        <w:rPr>
          <w:rFonts w:ascii="Times New Roman" w:eastAsia="Times New Roman" w:hAnsi="Times New Roman" w:cs="Times New Roman"/>
          <w:color w:val="000000"/>
          <w:sz w:val="24"/>
          <w:szCs w:val="24"/>
        </w:rPr>
        <w:t xml:space="preserve">, 53 F.3d 549, 559 (2nd Cir. 1995). Going further, the Second Circuit recognized “predictability” as a policy goal establishing copyright ownership. </w:t>
      </w:r>
      <w:r w:rsidRPr="00515877">
        <w:rPr>
          <w:rFonts w:ascii="Times New Roman" w:eastAsia="Times New Roman" w:hAnsi="Times New Roman" w:cs="Times New Roman"/>
          <w:i/>
          <w:color w:val="000000"/>
          <w:sz w:val="24"/>
          <w:szCs w:val="24"/>
        </w:rPr>
        <w:t>Id.</w:t>
      </w:r>
      <w:r>
        <w:rPr>
          <w:rFonts w:ascii="Times New Roman" w:eastAsia="Times New Roman" w:hAnsi="Times New Roman" w:cs="Times New Roman"/>
          <w:color w:val="000000"/>
          <w:sz w:val="24"/>
          <w:szCs w:val="24"/>
        </w:rPr>
        <w:t xml:space="preserve"> </w:t>
      </w:r>
      <w:r w:rsidR="00D721AF">
        <w:rPr>
          <w:rFonts w:ascii="Times New Roman" w:eastAsia="Times New Roman" w:hAnsi="Times New Roman" w:cs="Times New Roman"/>
          <w:color w:val="000000"/>
          <w:sz w:val="24"/>
          <w:szCs w:val="24"/>
        </w:rPr>
        <w:t xml:space="preserve">Predictability and “certainty of copyright ownership” have long been judicially recognized as values in copyright law. </w:t>
      </w:r>
      <w:proofErr w:type="gramStart"/>
      <w:r w:rsidR="00D721AF" w:rsidRPr="00D721AF">
        <w:rPr>
          <w:rFonts w:ascii="Times New Roman" w:eastAsia="Times New Roman" w:hAnsi="Times New Roman" w:cs="Times New Roman"/>
          <w:i/>
          <w:color w:val="000000"/>
          <w:sz w:val="24"/>
          <w:szCs w:val="24"/>
        </w:rPr>
        <w:t>Community for Creative Non-Violence v. Reid</w:t>
      </w:r>
      <w:r w:rsidR="00D721AF">
        <w:rPr>
          <w:rFonts w:ascii="Times New Roman" w:eastAsia="Times New Roman" w:hAnsi="Times New Roman" w:cs="Times New Roman"/>
          <w:color w:val="000000"/>
          <w:sz w:val="24"/>
          <w:szCs w:val="24"/>
        </w:rPr>
        <w:t>, 490 U.S., 730, 738 (1989).</w:t>
      </w:r>
      <w:proofErr w:type="gramEnd"/>
    </w:p>
    <w:p w14:paraId="5758B510" w14:textId="77777777" w:rsidR="00170E78" w:rsidRDefault="00170E78" w:rsidP="00F34B08">
      <w:pPr>
        <w:spacing w:line="480" w:lineRule="auto"/>
        <w:ind w:firstLine="7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With the policy goals of clear property rights and predictability in mind, the Second Circuit required “the parties to agree before the creation of the work that it will be a work made for hire.” </w:t>
      </w:r>
      <w:r w:rsidR="00D721AF">
        <w:rPr>
          <w:rFonts w:ascii="Times New Roman" w:eastAsia="Times New Roman" w:hAnsi="Times New Roman" w:cs="Times New Roman"/>
          <w:i/>
          <w:iCs/>
          <w:color w:val="000000"/>
          <w:sz w:val="24"/>
          <w:szCs w:val="24"/>
        </w:rPr>
        <w:t>Playboy Enters. v. Dumas</w:t>
      </w:r>
      <w:r w:rsidR="00D721AF">
        <w:rPr>
          <w:rFonts w:ascii="Times New Roman" w:eastAsia="Times New Roman" w:hAnsi="Times New Roman" w:cs="Times New Roman"/>
          <w:color w:val="000000"/>
          <w:sz w:val="24"/>
          <w:szCs w:val="24"/>
        </w:rPr>
        <w:t>, 53 F.3d 549, 559 (2nd Cir. 1995)</w:t>
      </w:r>
      <w:r w:rsidRPr="00A1781F">
        <w:rPr>
          <w:rFonts w:ascii="Times New Roman" w:eastAsia="Times New Roman" w:hAnsi="Times New Roman" w:cs="Times New Roman"/>
          <w:i/>
          <w:color w:val="000000"/>
          <w:sz w:val="24"/>
          <w:szCs w:val="24"/>
        </w:rPr>
        <w:t>.</w:t>
      </w:r>
      <w:r>
        <w:rPr>
          <w:rFonts w:ascii="Times New Roman" w:eastAsia="Times New Roman" w:hAnsi="Times New Roman" w:cs="Times New Roman"/>
          <w:color w:val="000000"/>
          <w:sz w:val="24"/>
          <w:szCs w:val="24"/>
        </w:rPr>
        <w:t xml:space="preserve"> The Second Circuit Court accepts pre-creation oral or written agreement since both forms uphold the Court’s policy interests. </w:t>
      </w:r>
      <w:r w:rsidRPr="0062295C">
        <w:rPr>
          <w:rFonts w:ascii="Times New Roman" w:eastAsia="Times New Roman" w:hAnsi="Times New Roman" w:cs="Times New Roman"/>
          <w:i/>
          <w:color w:val="000000"/>
          <w:sz w:val="24"/>
          <w:szCs w:val="24"/>
        </w:rPr>
        <w:t>Id.</w:t>
      </w:r>
      <w:r>
        <w:rPr>
          <w:rFonts w:ascii="Times New Roman" w:eastAsia="Times New Roman" w:hAnsi="Times New Roman" w:cs="Times New Roman"/>
          <w:color w:val="000000"/>
          <w:sz w:val="24"/>
          <w:szCs w:val="24"/>
        </w:rPr>
        <w:t xml:space="preserve"> Therefore, the Court accepts a pre-creation oral agreement as providing necessary predictability and clarity in property rights. </w:t>
      </w:r>
      <w:r w:rsidR="00263D91">
        <w:rPr>
          <w:rFonts w:ascii="Times New Roman" w:eastAsia="Times New Roman" w:hAnsi="Times New Roman" w:cs="Times New Roman"/>
          <w:color w:val="000000"/>
          <w:sz w:val="24"/>
          <w:szCs w:val="24"/>
        </w:rPr>
        <w:t xml:space="preserve">If the </w:t>
      </w:r>
      <w:r w:rsidR="00263D91" w:rsidRPr="00F34B08">
        <w:rPr>
          <w:rFonts w:ascii="Times New Roman" w:eastAsia="Times New Roman" w:hAnsi="Times New Roman" w:cs="Times New Roman"/>
          <w:i/>
          <w:color w:val="000000"/>
          <w:sz w:val="24"/>
          <w:szCs w:val="24"/>
        </w:rPr>
        <w:t>Playboy</w:t>
      </w:r>
      <w:r w:rsidR="00263D91">
        <w:rPr>
          <w:rFonts w:ascii="Times New Roman" w:eastAsia="Times New Roman" w:hAnsi="Times New Roman" w:cs="Times New Roman"/>
          <w:color w:val="000000"/>
          <w:sz w:val="24"/>
          <w:szCs w:val="24"/>
        </w:rPr>
        <w:t xml:space="preserve"> facts were adjusted to </w:t>
      </w:r>
      <w:r w:rsidR="00F34B08">
        <w:rPr>
          <w:rFonts w:ascii="Times New Roman" w:eastAsia="Times New Roman" w:hAnsi="Times New Roman" w:cs="Times New Roman"/>
          <w:color w:val="000000"/>
          <w:sz w:val="24"/>
          <w:szCs w:val="24"/>
        </w:rPr>
        <w:t>match</w:t>
      </w:r>
      <w:r w:rsidR="00263D91">
        <w:rPr>
          <w:rFonts w:ascii="Times New Roman" w:eastAsia="Times New Roman" w:hAnsi="Times New Roman" w:cs="Times New Roman"/>
          <w:color w:val="000000"/>
          <w:sz w:val="24"/>
          <w:szCs w:val="24"/>
        </w:rPr>
        <w:t xml:space="preserve"> the </w:t>
      </w:r>
      <w:r w:rsidR="00263D91" w:rsidRPr="00F34B08">
        <w:rPr>
          <w:rFonts w:ascii="Times New Roman" w:eastAsia="Times New Roman" w:hAnsi="Times New Roman" w:cs="Times New Roman"/>
          <w:i/>
          <w:color w:val="000000"/>
          <w:sz w:val="24"/>
          <w:szCs w:val="24"/>
        </w:rPr>
        <w:t>Schiller &amp; Schmidt</w:t>
      </w:r>
      <w:r w:rsidR="00F34B08">
        <w:rPr>
          <w:rFonts w:ascii="Times New Roman" w:eastAsia="Times New Roman" w:hAnsi="Times New Roman" w:cs="Times New Roman"/>
          <w:color w:val="000000"/>
          <w:sz w:val="24"/>
          <w:szCs w:val="24"/>
        </w:rPr>
        <w:t xml:space="preserve"> facts</w:t>
      </w:r>
      <w:r w:rsidR="00D721AF">
        <w:rPr>
          <w:rFonts w:ascii="Times New Roman" w:eastAsia="Times New Roman" w:hAnsi="Times New Roman" w:cs="Times New Roman"/>
          <w:color w:val="000000"/>
          <w:sz w:val="24"/>
          <w:szCs w:val="24"/>
        </w:rPr>
        <w:t xml:space="preserve"> (</w:t>
      </w:r>
      <w:r w:rsidR="00263D91">
        <w:rPr>
          <w:rFonts w:ascii="Times New Roman" w:eastAsia="Times New Roman" w:hAnsi="Times New Roman" w:cs="Times New Roman"/>
          <w:color w:val="000000"/>
          <w:sz w:val="24"/>
          <w:szCs w:val="24"/>
        </w:rPr>
        <w:t>namely removing the pre-creation oral agreement</w:t>
      </w:r>
      <w:r w:rsidR="00D721AF">
        <w:rPr>
          <w:rFonts w:ascii="Times New Roman" w:eastAsia="Times New Roman" w:hAnsi="Times New Roman" w:cs="Times New Roman"/>
          <w:color w:val="000000"/>
          <w:sz w:val="24"/>
          <w:szCs w:val="24"/>
        </w:rPr>
        <w:t>)</w:t>
      </w:r>
      <w:r w:rsidR="00263D91">
        <w:rPr>
          <w:rFonts w:ascii="Times New Roman" w:eastAsia="Times New Roman" w:hAnsi="Times New Roman" w:cs="Times New Roman"/>
          <w:color w:val="000000"/>
          <w:sz w:val="24"/>
          <w:szCs w:val="24"/>
        </w:rPr>
        <w:t xml:space="preserve">, </w:t>
      </w:r>
      <w:r w:rsidR="00F34B08">
        <w:rPr>
          <w:rFonts w:ascii="Times New Roman" w:eastAsia="Times New Roman" w:hAnsi="Times New Roman" w:cs="Times New Roman"/>
          <w:color w:val="000000"/>
          <w:sz w:val="24"/>
          <w:szCs w:val="24"/>
        </w:rPr>
        <w:t xml:space="preserve">it is logical to conclude the Second Circuit would have agreed fully with the Seventh Circuit’s holding. </w:t>
      </w:r>
      <w:r>
        <w:rPr>
          <w:rFonts w:ascii="Times New Roman" w:eastAsia="Times New Roman" w:hAnsi="Times New Roman" w:cs="Times New Roman"/>
          <w:color w:val="000000"/>
          <w:sz w:val="24"/>
          <w:szCs w:val="24"/>
        </w:rPr>
        <w:t xml:space="preserve">The </w:t>
      </w:r>
      <w:r>
        <w:rPr>
          <w:rFonts w:ascii="Times New Roman" w:eastAsia="Times New Roman" w:hAnsi="Times New Roman" w:cs="Times New Roman"/>
          <w:color w:val="000000"/>
          <w:sz w:val="24"/>
          <w:szCs w:val="24"/>
        </w:rPr>
        <w:lastRenderedPageBreak/>
        <w:t>presence of a pre-creation oral agreement materially changes the policy calculus, and</w:t>
      </w:r>
      <w:r w:rsidR="005E6D42">
        <w:rPr>
          <w:rFonts w:ascii="Times New Roman" w:eastAsia="Times New Roman" w:hAnsi="Times New Roman" w:cs="Times New Roman"/>
          <w:color w:val="000000"/>
          <w:sz w:val="24"/>
          <w:szCs w:val="24"/>
        </w:rPr>
        <w:t>, ultimately, the Court’s ruling</w:t>
      </w:r>
      <w:r>
        <w:rPr>
          <w:rFonts w:ascii="Times New Roman" w:eastAsia="Times New Roman" w:hAnsi="Times New Roman" w:cs="Times New Roman"/>
          <w:color w:val="000000"/>
          <w:sz w:val="24"/>
          <w:szCs w:val="24"/>
        </w:rPr>
        <w:t>.</w:t>
      </w:r>
    </w:p>
    <w:p w14:paraId="01270D65" w14:textId="77777777" w:rsidR="00170E78" w:rsidRDefault="00170E78" w:rsidP="00170E78">
      <w:pPr>
        <w:spacing w:line="480" w:lineRule="auto"/>
        <w:ind w:firstLine="7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In addition to the Circuit</w:t>
      </w:r>
      <w:r w:rsidR="00F34B08">
        <w:rPr>
          <w:rFonts w:ascii="Times New Roman" w:eastAsia="Times New Roman" w:hAnsi="Times New Roman" w:cs="Times New Roman"/>
          <w:color w:val="000000"/>
          <w:sz w:val="24"/>
          <w:szCs w:val="24"/>
        </w:rPr>
        <w:t xml:space="preserve"> Court</w:t>
      </w:r>
      <w:r>
        <w:rPr>
          <w:rFonts w:ascii="Times New Roman" w:eastAsia="Times New Roman" w:hAnsi="Times New Roman" w:cs="Times New Roman"/>
          <w:color w:val="000000"/>
          <w:sz w:val="24"/>
          <w:szCs w:val="24"/>
        </w:rPr>
        <w:t>s’ shared concerns about definite property rights and predictability, the Second Circuit goes a step farther to address freedom of contract concerns. The Second Circuit did not establish a pre-creation signature requirement because they feared such a requirement could infringe the parties’ freedom of contract. The Second Circuit cites this copyright treatise passage:</w:t>
      </w:r>
    </w:p>
    <w:p w14:paraId="5239825B" w14:textId="77777777" w:rsidR="00170E78" w:rsidRPr="008C3687" w:rsidRDefault="00170E78" w:rsidP="00170E78">
      <w:pPr>
        <w:pStyle w:val="NoSpacing"/>
        <w:ind w:left="720"/>
        <w:rPr>
          <w:rFonts w:ascii="Times New Roman" w:hAnsi="Times New Roman" w:cs="Times New Roman"/>
          <w:sz w:val="24"/>
          <w:szCs w:val="24"/>
        </w:rPr>
      </w:pPr>
      <w:r w:rsidRPr="008C3687">
        <w:rPr>
          <w:rFonts w:ascii="Times New Roman" w:hAnsi="Times New Roman" w:cs="Times New Roman"/>
          <w:sz w:val="24"/>
          <w:szCs w:val="24"/>
        </w:rPr>
        <w:t>One can imagine claims involving parties each of whom knew of the unanimous intent among all concerned that the work for hire doctrine would apply, notwithstanding that some of the paperwork remained not fully executed until after creation of the subject work. In that circumstance, the bright line rule could frustrate the intent of the parties, and cloud rather than serve the goal of certainty.</w:t>
      </w:r>
      <w:r>
        <w:t xml:space="preserve"> </w:t>
      </w:r>
      <w:proofErr w:type="spellStart"/>
      <w:r w:rsidRPr="008C3687">
        <w:rPr>
          <w:rFonts w:ascii="Times New Roman" w:hAnsi="Times New Roman" w:cs="Times New Roman"/>
          <w:i/>
          <w:sz w:val="24"/>
          <w:szCs w:val="24"/>
        </w:rPr>
        <w:t>Nimmer</w:t>
      </w:r>
      <w:proofErr w:type="spellEnd"/>
      <w:r w:rsidRPr="008C3687">
        <w:rPr>
          <w:rFonts w:ascii="Times New Roman" w:hAnsi="Times New Roman" w:cs="Times New Roman"/>
          <w:i/>
          <w:sz w:val="24"/>
          <w:szCs w:val="24"/>
        </w:rPr>
        <w:t xml:space="preserve"> &amp; </w:t>
      </w:r>
      <w:proofErr w:type="spellStart"/>
      <w:r w:rsidRPr="008C3687">
        <w:rPr>
          <w:rFonts w:ascii="Times New Roman" w:hAnsi="Times New Roman" w:cs="Times New Roman"/>
          <w:i/>
          <w:sz w:val="24"/>
          <w:szCs w:val="24"/>
        </w:rPr>
        <w:t>Nimmer</w:t>
      </w:r>
      <w:proofErr w:type="spellEnd"/>
      <w:r w:rsidRPr="008C3687">
        <w:rPr>
          <w:rFonts w:ascii="Times New Roman" w:hAnsi="Times New Roman" w:cs="Times New Roman"/>
          <w:i/>
          <w:sz w:val="24"/>
          <w:szCs w:val="24"/>
        </w:rPr>
        <w:t xml:space="preserve"> on Copyright</w:t>
      </w:r>
      <w:r>
        <w:rPr>
          <w:rFonts w:ascii="Times New Roman" w:hAnsi="Times New Roman" w:cs="Times New Roman"/>
          <w:sz w:val="24"/>
          <w:szCs w:val="24"/>
        </w:rPr>
        <w:t>, as cited in</w:t>
      </w:r>
      <w:r w:rsidRPr="008C3687">
        <w:rPr>
          <w:rFonts w:ascii="Times New Roman" w:hAnsi="Times New Roman" w:cs="Times New Roman"/>
          <w:sz w:val="24"/>
          <w:szCs w:val="24"/>
        </w:rPr>
        <w:t xml:space="preserve"> </w:t>
      </w:r>
      <w:r w:rsidRPr="008C3687">
        <w:rPr>
          <w:rFonts w:ascii="Times New Roman" w:eastAsia="Times New Roman" w:hAnsi="Times New Roman" w:cs="Times New Roman"/>
          <w:i/>
          <w:iCs/>
          <w:color w:val="000000"/>
          <w:sz w:val="24"/>
          <w:szCs w:val="24"/>
        </w:rPr>
        <w:t>Playboy Enters. v. Dumas</w:t>
      </w:r>
      <w:r w:rsidRPr="008C3687">
        <w:rPr>
          <w:rFonts w:ascii="Times New Roman" w:eastAsia="Times New Roman" w:hAnsi="Times New Roman" w:cs="Times New Roman"/>
          <w:color w:val="000000"/>
          <w:sz w:val="24"/>
          <w:szCs w:val="24"/>
        </w:rPr>
        <w:t>, 53 F.3d 549, 559 (2nd Cir. 1995).</w:t>
      </w:r>
    </w:p>
    <w:p w14:paraId="034AAC6A" w14:textId="77777777" w:rsidR="00170E78" w:rsidRDefault="00170E78" w:rsidP="00170E78">
      <w:pPr>
        <w:tabs>
          <w:tab w:val="num" w:pos="2160"/>
        </w:tabs>
        <w:spacing w:after="0" w:line="480" w:lineRule="auto"/>
        <w:rPr>
          <w:rFonts w:ascii="Times New Roman" w:hAnsi="Times New Roman" w:cs="Times New Roman"/>
          <w:sz w:val="24"/>
          <w:szCs w:val="24"/>
        </w:rPr>
      </w:pPr>
    </w:p>
    <w:p w14:paraId="62C504CB" w14:textId="77777777" w:rsidR="00170E78" w:rsidRDefault="00170E78" w:rsidP="00170E78">
      <w:pPr>
        <w:tabs>
          <w:tab w:val="num" w:pos="2160"/>
        </w:tabs>
        <w:spacing w:after="0" w:line="480" w:lineRule="auto"/>
        <w:ind w:left="720"/>
        <w:rPr>
          <w:rFonts w:ascii="Times New Roman" w:hAnsi="Times New Roman" w:cs="Times New Roman"/>
          <w:sz w:val="24"/>
          <w:szCs w:val="24"/>
        </w:rPr>
      </w:pPr>
      <w:r>
        <w:rPr>
          <w:rFonts w:ascii="Times New Roman" w:hAnsi="Times New Roman" w:cs="Times New Roman"/>
          <w:sz w:val="24"/>
          <w:szCs w:val="24"/>
        </w:rPr>
        <w:t xml:space="preserve">The present case is a perfect illustration of </w:t>
      </w:r>
      <w:proofErr w:type="spellStart"/>
      <w:r>
        <w:rPr>
          <w:rFonts w:ascii="Times New Roman" w:hAnsi="Times New Roman" w:cs="Times New Roman"/>
          <w:sz w:val="24"/>
          <w:szCs w:val="24"/>
        </w:rPr>
        <w:t>Nimmer’s</w:t>
      </w:r>
      <w:proofErr w:type="spellEnd"/>
      <w:r>
        <w:rPr>
          <w:rFonts w:ascii="Times New Roman" w:hAnsi="Times New Roman" w:cs="Times New Roman"/>
          <w:sz w:val="24"/>
          <w:szCs w:val="24"/>
        </w:rPr>
        <w:t xml:space="preserve"> caution against requiring a pre-</w:t>
      </w:r>
    </w:p>
    <w:p w14:paraId="3B55D8FC" w14:textId="77777777" w:rsidR="00D62BF6" w:rsidRDefault="00170E78" w:rsidP="00D721AF">
      <w:pPr>
        <w:tabs>
          <w:tab w:val="num" w:pos="2160"/>
        </w:tabs>
        <w:spacing w:after="0" w:line="480" w:lineRule="auto"/>
        <w:rPr>
          <w:rFonts w:ascii="Times New Roman" w:hAnsi="Times New Roman" w:cs="Times New Roman"/>
          <w:sz w:val="24"/>
          <w:szCs w:val="24"/>
        </w:rPr>
      </w:pPr>
      <w:proofErr w:type="gramStart"/>
      <w:r>
        <w:rPr>
          <w:rFonts w:ascii="Times New Roman" w:hAnsi="Times New Roman" w:cs="Times New Roman"/>
          <w:sz w:val="24"/>
          <w:szCs w:val="24"/>
        </w:rPr>
        <w:t>creation</w:t>
      </w:r>
      <w:proofErr w:type="gramEnd"/>
      <w:r>
        <w:rPr>
          <w:rFonts w:ascii="Times New Roman" w:hAnsi="Times New Roman" w:cs="Times New Roman"/>
          <w:sz w:val="24"/>
          <w:szCs w:val="24"/>
        </w:rPr>
        <w:t xml:space="preserve"> signature. As cited in the record, </w:t>
      </w:r>
      <w:r w:rsidR="005E6D42">
        <w:rPr>
          <w:rFonts w:ascii="Times New Roman" w:hAnsi="Times New Roman" w:cs="Times New Roman"/>
          <w:sz w:val="24"/>
          <w:szCs w:val="24"/>
        </w:rPr>
        <w:t xml:space="preserve">Lime was a sophisticated actor with over fifteen years of experience in the television industry. </w:t>
      </w:r>
      <w:r>
        <w:rPr>
          <w:rFonts w:ascii="Times New Roman" w:hAnsi="Times New Roman" w:cs="Times New Roman"/>
          <w:sz w:val="24"/>
          <w:szCs w:val="24"/>
        </w:rPr>
        <w:t xml:space="preserve">Lime and Nelson unanimously agreed they intended to enter into a “work made for hire” agreement. </w:t>
      </w:r>
      <w:proofErr w:type="gramStart"/>
      <w:r w:rsidR="005E6D42">
        <w:rPr>
          <w:rFonts w:ascii="Times New Roman" w:hAnsi="Times New Roman" w:cs="Times New Roman"/>
          <w:sz w:val="24"/>
          <w:szCs w:val="24"/>
        </w:rPr>
        <w:t>(</w:t>
      </w:r>
      <w:proofErr w:type="spellStart"/>
      <w:r w:rsidRPr="0062295C">
        <w:rPr>
          <w:rFonts w:ascii="Times New Roman" w:hAnsi="Times New Roman" w:cs="Times New Roman"/>
          <w:sz w:val="24"/>
          <w:szCs w:val="24"/>
        </w:rPr>
        <w:t>Compl</w:t>
      </w:r>
      <w:proofErr w:type="spellEnd"/>
      <w:r w:rsidRPr="0062295C">
        <w:rPr>
          <w:rFonts w:ascii="Times New Roman" w:hAnsi="Times New Roman" w:cs="Times New Roman"/>
          <w:sz w:val="24"/>
          <w:szCs w:val="24"/>
        </w:rPr>
        <w:t>.</w:t>
      </w:r>
      <w:r>
        <w:rPr>
          <w:rFonts w:ascii="Times New Roman" w:hAnsi="Times New Roman" w:cs="Times New Roman"/>
          <w:sz w:val="24"/>
          <w:szCs w:val="24"/>
        </w:rPr>
        <w:t xml:space="preserve"> </w:t>
      </w:r>
      <w:r w:rsidRPr="0062295C">
        <w:rPr>
          <w:rFonts w:ascii="Times New Roman" w:hAnsi="Times New Roman" w:cs="Times New Roman"/>
          <w:sz w:val="24"/>
          <w:szCs w:val="24"/>
        </w:rPr>
        <w:t>¶ 17</w:t>
      </w:r>
      <w:r w:rsidR="005E6D42">
        <w:rPr>
          <w:rFonts w:ascii="Times New Roman" w:hAnsi="Times New Roman" w:cs="Times New Roman"/>
          <w:sz w:val="24"/>
          <w:szCs w:val="24"/>
        </w:rPr>
        <w:t>)</w:t>
      </w:r>
      <w:r w:rsidRPr="0062295C">
        <w:rPr>
          <w:rFonts w:ascii="Times New Roman" w:hAnsi="Times New Roman" w:cs="Times New Roman"/>
          <w:sz w:val="24"/>
          <w:szCs w:val="24"/>
        </w:rPr>
        <w:t>.</w:t>
      </w:r>
      <w:proofErr w:type="gramEnd"/>
      <w:r>
        <w:rPr>
          <w:rFonts w:ascii="Times New Roman" w:hAnsi="Times New Roman" w:cs="Times New Roman"/>
          <w:sz w:val="24"/>
          <w:szCs w:val="24"/>
        </w:rPr>
        <w:t xml:space="preserve"> The parties deferred the paperwork because both wanted Lime to “get to work right away” on the screenplay. </w:t>
      </w:r>
      <w:proofErr w:type="gramStart"/>
      <w:r w:rsidR="005E6D42">
        <w:rPr>
          <w:rFonts w:ascii="Times New Roman" w:hAnsi="Times New Roman" w:cs="Times New Roman"/>
          <w:sz w:val="24"/>
          <w:szCs w:val="24"/>
        </w:rPr>
        <w:t>(</w:t>
      </w:r>
      <w:proofErr w:type="spellStart"/>
      <w:r>
        <w:rPr>
          <w:rFonts w:ascii="Times New Roman" w:hAnsi="Times New Roman" w:cs="Times New Roman"/>
          <w:sz w:val="24"/>
          <w:szCs w:val="24"/>
        </w:rPr>
        <w:t>Compl</w:t>
      </w:r>
      <w:proofErr w:type="spellEnd"/>
      <w:r>
        <w:rPr>
          <w:rFonts w:ascii="Times New Roman" w:hAnsi="Times New Roman" w:cs="Times New Roman"/>
          <w:sz w:val="24"/>
          <w:szCs w:val="24"/>
        </w:rPr>
        <w:t>. ¶ 20</w:t>
      </w:r>
      <w:r w:rsidR="005E6D42">
        <w:rPr>
          <w:rFonts w:ascii="Times New Roman" w:hAnsi="Times New Roman" w:cs="Times New Roman"/>
          <w:sz w:val="24"/>
          <w:szCs w:val="24"/>
        </w:rPr>
        <w:t>)</w:t>
      </w:r>
      <w:r>
        <w:rPr>
          <w:rFonts w:ascii="Times New Roman" w:hAnsi="Times New Roman" w:cs="Times New Roman"/>
          <w:sz w:val="24"/>
          <w:szCs w:val="24"/>
        </w:rPr>
        <w:t>.</w:t>
      </w:r>
      <w:proofErr w:type="gramEnd"/>
      <w:r>
        <w:rPr>
          <w:rFonts w:ascii="Times New Roman" w:hAnsi="Times New Roman" w:cs="Times New Roman"/>
          <w:sz w:val="24"/>
          <w:szCs w:val="24"/>
        </w:rPr>
        <w:t xml:space="preserve"> The paperwork was fully executed post-creation of the screenplay. </w:t>
      </w:r>
      <w:proofErr w:type="gramStart"/>
      <w:r w:rsidR="005E6D42">
        <w:rPr>
          <w:rFonts w:ascii="Times New Roman" w:hAnsi="Times New Roman" w:cs="Times New Roman"/>
          <w:sz w:val="24"/>
          <w:szCs w:val="24"/>
        </w:rPr>
        <w:t>(</w:t>
      </w:r>
      <w:proofErr w:type="spellStart"/>
      <w:r>
        <w:rPr>
          <w:rFonts w:ascii="Times New Roman" w:hAnsi="Times New Roman" w:cs="Times New Roman"/>
          <w:sz w:val="24"/>
          <w:szCs w:val="24"/>
        </w:rPr>
        <w:t>Compl</w:t>
      </w:r>
      <w:proofErr w:type="spellEnd"/>
      <w:r w:rsidRPr="0062295C">
        <w:rPr>
          <w:rFonts w:ascii="Times New Roman" w:hAnsi="Times New Roman" w:cs="Times New Roman"/>
          <w:sz w:val="24"/>
          <w:szCs w:val="24"/>
        </w:rPr>
        <w:t>.</w:t>
      </w:r>
      <w:r>
        <w:rPr>
          <w:rFonts w:ascii="Times New Roman" w:hAnsi="Times New Roman" w:cs="Times New Roman"/>
          <w:sz w:val="24"/>
          <w:szCs w:val="24"/>
        </w:rPr>
        <w:t xml:space="preserve"> ¶ 25</w:t>
      </w:r>
      <w:r w:rsidR="005E6D42">
        <w:rPr>
          <w:rFonts w:ascii="Times New Roman" w:hAnsi="Times New Roman" w:cs="Times New Roman"/>
          <w:sz w:val="24"/>
          <w:szCs w:val="24"/>
        </w:rPr>
        <w:t>)</w:t>
      </w:r>
      <w:r>
        <w:rPr>
          <w:rFonts w:ascii="Times New Roman" w:hAnsi="Times New Roman" w:cs="Times New Roman"/>
          <w:sz w:val="24"/>
          <w:szCs w:val="24"/>
        </w:rPr>
        <w:t>.</w:t>
      </w:r>
      <w:proofErr w:type="gramEnd"/>
      <w:r>
        <w:rPr>
          <w:rFonts w:ascii="Times New Roman" w:hAnsi="Times New Roman" w:cs="Times New Roman"/>
          <w:sz w:val="24"/>
          <w:szCs w:val="24"/>
        </w:rPr>
        <w:t xml:space="preserve"> To apply the Seventh Circuit’s bright line rule would frustrate the parties’ intent to create a “work made for hire” screenplay. For these policy reasons, the Court should adopt the Second Circuit’s reasoning in </w:t>
      </w:r>
      <w:r w:rsidRPr="007C162B">
        <w:rPr>
          <w:rFonts w:ascii="Times New Roman" w:hAnsi="Times New Roman" w:cs="Times New Roman"/>
          <w:i/>
          <w:sz w:val="24"/>
          <w:szCs w:val="24"/>
        </w:rPr>
        <w:t>Playboy</w:t>
      </w:r>
      <w:r>
        <w:rPr>
          <w:rFonts w:ascii="Times New Roman" w:hAnsi="Times New Roman" w:cs="Times New Roman"/>
          <w:sz w:val="24"/>
          <w:szCs w:val="24"/>
        </w:rPr>
        <w:t xml:space="preserve"> instead of the Seventh Circuit’s precedent in </w:t>
      </w:r>
      <w:r w:rsidRPr="007C162B">
        <w:rPr>
          <w:rFonts w:ascii="Times New Roman" w:hAnsi="Times New Roman" w:cs="Times New Roman"/>
          <w:i/>
          <w:sz w:val="24"/>
          <w:szCs w:val="24"/>
        </w:rPr>
        <w:t>Schiller &amp; Schmidt</w:t>
      </w:r>
      <w:r>
        <w:rPr>
          <w:rFonts w:ascii="Times New Roman" w:hAnsi="Times New Roman" w:cs="Times New Roman"/>
          <w:sz w:val="24"/>
          <w:szCs w:val="24"/>
        </w:rPr>
        <w:t>.</w:t>
      </w:r>
    </w:p>
    <w:p w14:paraId="677201FA" w14:textId="77777777" w:rsidR="005E6D42" w:rsidRDefault="005E6D42" w:rsidP="00D721AF">
      <w:pPr>
        <w:tabs>
          <w:tab w:val="num" w:pos="2160"/>
        </w:tabs>
        <w:spacing w:after="0" w:line="480" w:lineRule="auto"/>
        <w:rPr>
          <w:rFonts w:ascii="Times New Roman" w:hAnsi="Times New Roman" w:cs="Times New Roman"/>
          <w:sz w:val="24"/>
          <w:szCs w:val="24"/>
        </w:rPr>
      </w:pPr>
    </w:p>
    <w:p w14:paraId="1BC2CA22" w14:textId="77777777" w:rsidR="00834E91" w:rsidRDefault="00834E91" w:rsidP="00834E91">
      <w:pPr>
        <w:pStyle w:val="NoSpacing"/>
      </w:pPr>
    </w:p>
    <w:p w14:paraId="1AD14CED" w14:textId="77777777" w:rsidR="00AE329F" w:rsidRDefault="00AE329F" w:rsidP="00170E78">
      <w:pPr>
        <w:pStyle w:val="NoSpacing"/>
        <w:jc w:val="center"/>
        <w:rPr>
          <w:rFonts w:ascii="Times New Roman" w:hAnsi="Times New Roman" w:cs="Times New Roman"/>
          <w:b/>
          <w:sz w:val="24"/>
          <w:szCs w:val="24"/>
          <w:u w:val="single"/>
        </w:rPr>
      </w:pPr>
      <w:r w:rsidRPr="000D3488">
        <w:rPr>
          <w:rFonts w:ascii="Times New Roman" w:hAnsi="Times New Roman" w:cs="Times New Roman"/>
          <w:b/>
          <w:sz w:val="24"/>
          <w:szCs w:val="24"/>
        </w:rPr>
        <w:lastRenderedPageBreak/>
        <w:t xml:space="preserve">IV. CONCLUSION: </w:t>
      </w:r>
      <w:r w:rsidRPr="000D3488">
        <w:rPr>
          <w:rFonts w:ascii="Times New Roman" w:hAnsi="Times New Roman" w:cs="Times New Roman"/>
          <w:b/>
          <w:sz w:val="24"/>
          <w:szCs w:val="24"/>
          <w:u w:val="single"/>
        </w:rPr>
        <w:t xml:space="preserve">Plaintiff Meets Its Plausibility Standard </w:t>
      </w:r>
      <w:r w:rsidR="000D3488" w:rsidRPr="000D3488">
        <w:rPr>
          <w:rFonts w:ascii="Times New Roman" w:hAnsi="Times New Roman" w:cs="Times New Roman"/>
          <w:b/>
          <w:sz w:val="24"/>
          <w:szCs w:val="24"/>
          <w:u w:val="single"/>
        </w:rPr>
        <w:t>Because There is Sufficient Evidence that the Disputed Contract is Within the Plain Meaning of the Statute; Court Should Uphold the “Work Made for Hire” Contract as Valid.</w:t>
      </w:r>
    </w:p>
    <w:p w14:paraId="6A80DA04" w14:textId="77777777" w:rsidR="000D3488" w:rsidRDefault="000D3488" w:rsidP="00170E78">
      <w:pPr>
        <w:pStyle w:val="NoSpacing"/>
        <w:jc w:val="center"/>
        <w:rPr>
          <w:rFonts w:ascii="Times New Roman" w:hAnsi="Times New Roman" w:cs="Times New Roman"/>
          <w:b/>
          <w:sz w:val="24"/>
          <w:szCs w:val="24"/>
          <w:u w:val="single"/>
        </w:rPr>
      </w:pPr>
    </w:p>
    <w:p w14:paraId="6C38B4F3" w14:textId="77777777" w:rsidR="00834E91" w:rsidRDefault="000D3488" w:rsidP="00043F5F">
      <w:pPr>
        <w:pStyle w:val="NoSpacing"/>
        <w:spacing w:line="480" w:lineRule="auto"/>
        <w:rPr>
          <w:rFonts w:ascii="Times New Roman" w:hAnsi="Times New Roman" w:cs="Times New Roman"/>
          <w:sz w:val="24"/>
          <w:szCs w:val="24"/>
        </w:rPr>
      </w:pPr>
      <w:r>
        <w:rPr>
          <w:rFonts w:ascii="Times New Roman" w:hAnsi="Times New Roman" w:cs="Times New Roman"/>
        </w:rPr>
        <w:tab/>
      </w:r>
      <w:r w:rsidR="00043F5F">
        <w:rPr>
          <w:rFonts w:ascii="Times New Roman" w:hAnsi="Times New Roman" w:cs="Times New Roman"/>
          <w:sz w:val="24"/>
          <w:szCs w:val="24"/>
        </w:rPr>
        <w:t xml:space="preserve">The Court should deny this motion to dismiss because Plaintiff has sufficiently stated a cause of action under the </w:t>
      </w:r>
      <w:r w:rsidR="00F34B08">
        <w:rPr>
          <w:rFonts w:ascii="Times New Roman" w:hAnsi="Times New Roman" w:cs="Times New Roman"/>
          <w:i/>
          <w:sz w:val="24"/>
          <w:szCs w:val="24"/>
        </w:rPr>
        <w:t>Iqbal</w:t>
      </w:r>
      <w:r w:rsidR="00D62BF6">
        <w:rPr>
          <w:rFonts w:ascii="Times New Roman" w:hAnsi="Times New Roman" w:cs="Times New Roman"/>
          <w:sz w:val="24"/>
          <w:szCs w:val="24"/>
        </w:rPr>
        <w:t xml:space="preserve"> test. Plaintiff has sufficient evidence to plausibly show that Plaintiff entered into a valid “work made for hire” agreement with Lime.</w:t>
      </w:r>
      <w:r w:rsidR="00043F5F">
        <w:rPr>
          <w:rFonts w:ascii="Times New Roman" w:hAnsi="Times New Roman" w:cs="Times New Roman"/>
          <w:sz w:val="24"/>
          <w:szCs w:val="24"/>
        </w:rPr>
        <w:t xml:space="preserve"> </w:t>
      </w:r>
    </w:p>
    <w:p w14:paraId="5682C4E3" w14:textId="77777777" w:rsidR="00834E91" w:rsidRDefault="00834E91" w:rsidP="00043F5F">
      <w:pPr>
        <w:pStyle w:val="NoSpacing"/>
        <w:spacing w:line="480" w:lineRule="auto"/>
        <w:rPr>
          <w:rFonts w:ascii="Times New Roman" w:hAnsi="Times New Roman" w:cs="Times New Roman"/>
          <w:sz w:val="24"/>
          <w:szCs w:val="24"/>
        </w:rPr>
      </w:pPr>
      <w:r>
        <w:rPr>
          <w:rFonts w:ascii="Times New Roman" w:hAnsi="Times New Roman" w:cs="Times New Roman"/>
          <w:sz w:val="24"/>
          <w:szCs w:val="24"/>
        </w:rPr>
        <w:tab/>
        <w:t xml:space="preserve">First, the plain meaning of the Copyright Act of 1976 supports Plaintiff because the contract at issue meets every requirement express listed in §101(2). When the plain meaning of a statute is clear, the language is dispositive as a matter of statutory interpretation. </w:t>
      </w:r>
      <w:r w:rsidRPr="00834E91">
        <w:rPr>
          <w:rFonts w:ascii="Times New Roman" w:hAnsi="Times New Roman" w:cs="Times New Roman"/>
          <w:i/>
          <w:sz w:val="24"/>
          <w:szCs w:val="24"/>
        </w:rPr>
        <w:t xml:space="preserve">Conn. National Bank v. </w:t>
      </w:r>
      <w:proofErr w:type="spellStart"/>
      <w:r w:rsidRPr="00834E91">
        <w:rPr>
          <w:rFonts w:ascii="Times New Roman" w:hAnsi="Times New Roman" w:cs="Times New Roman"/>
          <w:i/>
          <w:sz w:val="24"/>
          <w:szCs w:val="24"/>
        </w:rPr>
        <w:t>Germain</w:t>
      </w:r>
      <w:proofErr w:type="spellEnd"/>
      <w:r>
        <w:rPr>
          <w:rFonts w:ascii="Times New Roman" w:hAnsi="Times New Roman" w:cs="Times New Roman"/>
          <w:sz w:val="24"/>
          <w:szCs w:val="24"/>
        </w:rPr>
        <w:t>, 503 U.S. 249, 254 (1992).</w:t>
      </w:r>
    </w:p>
    <w:p w14:paraId="71C826FB" w14:textId="77777777" w:rsidR="00834E91" w:rsidRDefault="00834E91" w:rsidP="00043F5F">
      <w:pPr>
        <w:pStyle w:val="NoSpacing"/>
        <w:spacing w:line="480" w:lineRule="auto"/>
        <w:rPr>
          <w:rFonts w:ascii="Times New Roman" w:hAnsi="Times New Roman" w:cs="Times New Roman"/>
          <w:sz w:val="24"/>
          <w:szCs w:val="24"/>
        </w:rPr>
      </w:pPr>
      <w:r>
        <w:rPr>
          <w:rFonts w:ascii="Times New Roman" w:hAnsi="Times New Roman" w:cs="Times New Roman"/>
          <w:sz w:val="24"/>
          <w:szCs w:val="24"/>
        </w:rPr>
        <w:tab/>
        <w:t>Second, legislative intent supports Plaintiff because Congress intended to remain silent on the issue of a signature deadline in “work made for hire” agreements. Since Ringer is a legislative staff member, her personal interpretation of the statute is not determinative. If Congress had intended to adopt her interpretation, Congress would have done so through the formal legislative process outlined in the Constitution.</w:t>
      </w:r>
    </w:p>
    <w:p w14:paraId="268C6851" w14:textId="77777777" w:rsidR="00834E91" w:rsidRDefault="00834E91" w:rsidP="00043F5F">
      <w:pPr>
        <w:pStyle w:val="NoSpacing"/>
        <w:spacing w:line="480" w:lineRule="auto"/>
        <w:rPr>
          <w:rFonts w:ascii="Times New Roman" w:hAnsi="Times New Roman" w:cs="Times New Roman"/>
          <w:sz w:val="24"/>
          <w:szCs w:val="24"/>
        </w:rPr>
      </w:pPr>
      <w:r>
        <w:rPr>
          <w:rFonts w:ascii="Times New Roman" w:hAnsi="Times New Roman" w:cs="Times New Roman"/>
          <w:sz w:val="24"/>
          <w:szCs w:val="24"/>
        </w:rPr>
        <w:tab/>
        <w:t xml:space="preserve">Third, the common law precedent authored by the Second Circuit allows a “work made for hire” contract to be signed post-creation as long as the parties </w:t>
      </w:r>
      <w:r w:rsidR="00195A8B">
        <w:rPr>
          <w:rFonts w:ascii="Times New Roman" w:hAnsi="Times New Roman" w:cs="Times New Roman"/>
          <w:sz w:val="24"/>
          <w:szCs w:val="24"/>
        </w:rPr>
        <w:t xml:space="preserve">also </w:t>
      </w:r>
      <w:r>
        <w:rPr>
          <w:rFonts w:ascii="Times New Roman" w:hAnsi="Times New Roman" w:cs="Times New Roman"/>
          <w:sz w:val="24"/>
          <w:szCs w:val="24"/>
        </w:rPr>
        <w:t>entered</w:t>
      </w:r>
      <w:r w:rsidR="00195A8B">
        <w:rPr>
          <w:rFonts w:ascii="Times New Roman" w:hAnsi="Times New Roman" w:cs="Times New Roman"/>
          <w:sz w:val="24"/>
          <w:szCs w:val="24"/>
        </w:rPr>
        <w:t xml:space="preserve"> into a pre-creation agreement that the work would be considered a “work made for hire.” This ruling exactly matches the facts of the present case, so the Court should adopt the Second Circuit’s reasoning here.</w:t>
      </w:r>
    </w:p>
    <w:p w14:paraId="738AAC16" w14:textId="77777777" w:rsidR="000D3488" w:rsidRPr="000D3488" w:rsidRDefault="005E6D42" w:rsidP="005E6D42">
      <w:pPr>
        <w:pStyle w:val="NoSpacing"/>
        <w:spacing w:line="480" w:lineRule="auto"/>
        <w:ind w:firstLine="720"/>
        <w:rPr>
          <w:rFonts w:ascii="Times New Roman" w:hAnsi="Times New Roman" w:cs="Times New Roman"/>
          <w:sz w:val="24"/>
          <w:szCs w:val="24"/>
        </w:rPr>
      </w:pPr>
      <w:r>
        <w:rPr>
          <w:rFonts w:ascii="Times New Roman" w:hAnsi="Times New Roman" w:cs="Times New Roman"/>
          <w:sz w:val="24"/>
          <w:szCs w:val="24"/>
        </w:rPr>
        <w:t xml:space="preserve">The Court should deny Defendants’ </w:t>
      </w:r>
      <w:r w:rsidR="004A4C9B">
        <w:rPr>
          <w:rFonts w:ascii="Times New Roman" w:hAnsi="Times New Roman" w:cs="Times New Roman"/>
          <w:sz w:val="24"/>
          <w:szCs w:val="24"/>
        </w:rPr>
        <w:t>motion to dismiss and should</w:t>
      </w:r>
      <w:r w:rsidR="00D62BF6">
        <w:rPr>
          <w:rFonts w:ascii="Times New Roman" w:hAnsi="Times New Roman" w:cs="Times New Roman"/>
          <w:sz w:val="24"/>
          <w:szCs w:val="24"/>
        </w:rPr>
        <w:t xml:space="preserve"> allow the Plaintiff to h</w:t>
      </w:r>
      <w:r w:rsidR="00043F5F">
        <w:rPr>
          <w:rFonts w:ascii="Times New Roman" w:hAnsi="Times New Roman" w:cs="Times New Roman"/>
          <w:sz w:val="24"/>
          <w:szCs w:val="24"/>
        </w:rPr>
        <w:t>ave its day in court.</w:t>
      </w:r>
    </w:p>
    <w:sectPr w:rsidR="000D3488" w:rsidRPr="000D3488">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64B54E1" w14:textId="77777777" w:rsidR="003348FE" w:rsidRDefault="003348FE" w:rsidP="000D0400">
      <w:pPr>
        <w:spacing w:after="0" w:line="240" w:lineRule="auto"/>
      </w:pPr>
      <w:r>
        <w:separator/>
      </w:r>
    </w:p>
  </w:endnote>
  <w:endnote w:type="continuationSeparator" w:id="0">
    <w:p w14:paraId="27B25187" w14:textId="77777777" w:rsidR="003348FE" w:rsidRDefault="003348FE" w:rsidP="000D04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Verdana">
    <w:panose1 w:val="020B0604030504040204"/>
    <w:charset w:val="00"/>
    <w:family w:val="auto"/>
    <w:pitch w:val="variable"/>
    <w:sig w:usb0="A10006FF" w:usb1="4000205B" w:usb2="00000010" w:usb3="00000000" w:csb0="0000019F" w:csb1="00000000"/>
  </w:font>
  <w:font w:name="Courier New">
    <w:panose1 w:val="02070309020205020404"/>
    <w:charset w:val="00"/>
    <w:family w:val="auto"/>
    <w:pitch w:val="variable"/>
    <w:sig w:usb0="E0002AFF" w:usb1="C0007843" w:usb2="00000009" w:usb3="00000000" w:csb0="000001FF" w:csb1="00000000"/>
  </w:font>
  <w:font w:name="Calibri">
    <w:panose1 w:val="020F0502020204030204"/>
    <w:charset w:val="00"/>
    <w:family w:val="auto"/>
    <w:pitch w:val="variable"/>
    <w:sig w:usb0="E10002FF" w:usb1="4000ACFF" w:usb2="00000009" w:usb3="00000000" w:csb0="0000019F" w:csb1="00000000"/>
  </w:font>
  <w:font w:name="Times New Roman">
    <w:panose1 w:val="02020603050405020304"/>
    <w:charset w:val="00"/>
    <w:family w:val="auto"/>
    <w:pitch w:val="variable"/>
    <w:sig w:usb0="E0002AFF" w:usb1="C0007841" w:usb2="00000009" w:usb3="00000000" w:csb0="000001FF" w:csb1="00000000"/>
  </w:font>
  <w:font w:name="Tahoma">
    <w:panose1 w:val="020B0604030504040204"/>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18333489"/>
      <w:docPartObj>
        <w:docPartGallery w:val="Page Numbers (Bottom of Page)"/>
        <w:docPartUnique/>
      </w:docPartObj>
    </w:sdtPr>
    <w:sdtEndPr>
      <w:rPr>
        <w:rFonts w:ascii="Times New Roman" w:hAnsi="Times New Roman" w:cs="Times New Roman"/>
        <w:noProof/>
        <w:sz w:val="24"/>
        <w:szCs w:val="24"/>
      </w:rPr>
    </w:sdtEndPr>
    <w:sdtContent>
      <w:p w14:paraId="1B30D85C" w14:textId="77777777" w:rsidR="00007363" w:rsidRPr="00007363" w:rsidRDefault="00007363">
        <w:pPr>
          <w:pStyle w:val="Footer"/>
          <w:jc w:val="right"/>
          <w:rPr>
            <w:rFonts w:ascii="Times New Roman" w:hAnsi="Times New Roman" w:cs="Times New Roman"/>
            <w:sz w:val="24"/>
            <w:szCs w:val="24"/>
          </w:rPr>
        </w:pPr>
        <w:r w:rsidRPr="00007363">
          <w:rPr>
            <w:rFonts w:ascii="Times New Roman" w:hAnsi="Times New Roman" w:cs="Times New Roman"/>
            <w:sz w:val="24"/>
            <w:szCs w:val="24"/>
          </w:rPr>
          <w:fldChar w:fldCharType="begin"/>
        </w:r>
        <w:r w:rsidRPr="00007363">
          <w:rPr>
            <w:rFonts w:ascii="Times New Roman" w:hAnsi="Times New Roman" w:cs="Times New Roman"/>
            <w:sz w:val="24"/>
            <w:szCs w:val="24"/>
          </w:rPr>
          <w:instrText xml:space="preserve"> PAGE   \* MERGEFORMAT </w:instrText>
        </w:r>
        <w:r w:rsidRPr="00007363">
          <w:rPr>
            <w:rFonts w:ascii="Times New Roman" w:hAnsi="Times New Roman" w:cs="Times New Roman"/>
            <w:sz w:val="24"/>
            <w:szCs w:val="24"/>
          </w:rPr>
          <w:fldChar w:fldCharType="separate"/>
        </w:r>
        <w:r w:rsidR="00AF43BC">
          <w:rPr>
            <w:rFonts w:ascii="Times New Roman" w:hAnsi="Times New Roman" w:cs="Times New Roman"/>
            <w:noProof/>
            <w:sz w:val="24"/>
            <w:szCs w:val="24"/>
          </w:rPr>
          <w:t>1</w:t>
        </w:r>
        <w:r w:rsidRPr="00007363">
          <w:rPr>
            <w:rFonts w:ascii="Times New Roman" w:hAnsi="Times New Roman" w:cs="Times New Roman"/>
            <w:noProof/>
            <w:sz w:val="24"/>
            <w:szCs w:val="24"/>
          </w:rPr>
          <w:fldChar w:fldCharType="end"/>
        </w:r>
      </w:p>
    </w:sdtContent>
  </w:sdt>
  <w:p w14:paraId="3BE8FC3E" w14:textId="77777777" w:rsidR="00007363" w:rsidRDefault="00007363">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9F8BED5" w14:textId="77777777" w:rsidR="003348FE" w:rsidRDefault="003348FE" w:rsidP="000D0400">
      <w:pPr>
        <w:spacing w:after="0" w:line="240" w:lineRule="auto"/>
      </w:pPr>
      <w:r>
        <w:separator/>
      </w:r>
    </w:p>
  </w:footnote>
  <w:footnote w:type="continuationSeparator" w:id="0">
    <w:p w14:paraId="74E8B18A" w14:textId="77777777" w:rsidR="003348FE" w:rsidRDefault="003348FE" w:rsidP="000D0400">
      <w:pPr>
        <w:spacing w:after="0" w:line="240" w:lineRule="auto"/>
      </w:pPr>
      <w:r>
        <w:continuationSeparator/>
      </w:r>
    </w:p>
  </w:footnote>
  <w:footnote w:id="1">
    <w:p w14:paraId="65D66809" w14:textId="77777777" w:rsidR="00AE7066" w:rsidRPr="005A7085" w:rsidRDefault="00AE7066" w:rsidP="000C4256">
      <w:pPr>
        <w:pStyle w:val="FootnoteText"/>
        <w:rPr>
          <w:rFonts w:ascii="Times New Roman" w:hAnsi="Times New Roman" w:cs="Times New Roman"/>
          <w:sz w:val="24"/>
          <w:szCs w:val="24"/>
        </w:rPr>
      </w:pPr>
      <w:r w:rsidRPr="005A7085">
        <w:rPr>
          <w:rStyle w:val="FootnoteReference"/>
          <w:rFonts w:ascii="Times New Roman" w:hAnsi="Times New Roman" w:cs="Times New Roman"/>
        </w:rPr>
        <w:footnoteRef/>
      </w:r>
      <w:r w:rsidRPr="005A7085">
        <w:rPr>
          <w:rFonts w:ascii="Times New Roman" w:hAnsi="Times New Roman" w:cs="Times New Roman"/>
        </w:rPr>
        <w:t xml:space="preserve"> </w:t>
      </w:r>
      <w:r w:rsidRPr="005A7085">
        <w:rPr>
          <w:rFonts w:ascii="Times New Roman" w:hAnsi="Times New Roman" w:cs="Times New Roman"/>
          <w:sz w:val="24"/>
          <w:szCs w:val="24"/>
        </w:rPr>
        <w:t>House Copyright Subcommittee reported out S. 22 unanimously. The House Judiciary Committee reported out the bill with only one dissenting vote. The Senate Judiciary Committee passed the bill out unanimously.</w:t>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00000001"/>
    <w:lvl w:ilvl="0" w:tplc="FFFFFFFF">
      <w:start w:val="1"/>
      <w:numFmt w:val="bullet"/>
      <w:lvlText w:val="●"/>
      <w:lvlJc w:val="left"/>
      <w:pPr>
        <w:tabs>
          <w:tab w:val="num" w:pos="0"/>
        </w:tabs>
        <w:ind w:left="720" w:hanging="360"/>
      </w:pPr>
      <w:rPr>
        <w:rFonts w:ascii="Verdana" w:eastAsia="Verdana" w:hAnsi="Verdana" w:cs="Verdana"/>
        <w:b w:val="0"/>
        <w:bCs w:val="0"/>
        <w:i w:val="0"/>
        <w:iCs w:val="0"/>
        <w:strike w:val="0"/>
        <w:color w:val="000000"/>
        <w:sz w:val="20"/>
        <w:szCs w:val="20"/>
        <w:u w:val="none"/>
      </w:rPr>
    </w:lvl>
    <w:lvl w:ilvl="1" w:tplc="FFFFFFFF">
      <w:start w:val="1"/>
      <w:numFmt w:val="bullet"/>
      <w:lvlText w:val="○"/>
      <w:lvlJc w:val="left"/>
      <w:pPr>
        <w:tabs>
          <w:tab w:val="num" w:pos="0"/>
        </w:tabs>
        <w:ind w:left="1440" w:hanging="360"/>
      </w:pPr>
      <w:rPr>
        <w:rFonts w:ascii="Courier New" w:eastAsia="Courier New" w:hAnsi="Courier New" w:cs="Courier New"/>
        <w:b w:val="0"/>
        <w:bCs w:val="0"/>
        <w:i w:val="0"/>
        <w:iCs w:val="0"/>
        <w:strike w:val="0"/>
        <w:color w:val="000000"/>
        <w:sz w:val="20"/>
        <w:szCs w:val="20"/>
        <w:u w:val="none"/>
      </w:rPr>
    </w:lvl>
    <w:lvl w:ilvl="2" w:tplc="FFFFFFFF">
      <w:start w:val="1"/>
      <w:numFmt w:val="bullet"/>
      <w:lvlText w:val="■"/>
      <w:lvlJc w:val="right"/>
      <w:pPr>
        <w:tabs>
          <w:tab w:val="num" w:pos="0"/>
        </w:tabs>
        <w:ind w:left="2160" w:hanging="180"/>
      </w:pPr>
      <w:rPr>
        <w:rFonts w:ascii="Verdana" w:eastAsia="Verdana" w:hAnsi="Verdana" w:cs="Verdana"/>
        <w:b w:val="0"/>
        <w:bCs w:val="0"/>
        <w:i w:val="0"/>
        <w:iCs w:val="0"/>
        <w:strike w:val="0"/>
        <w:color w:val="000000"/>
        <w:sz w:val="20"/>
        <w:szCs w:val="20"/>
        <w:u w:val="none"/>
      </w:rPr>
    </w:lvl>
    <w:lvl w:ilvl="3" w:tplc="FFFFFFFF">
      <w:start w:val="1"/>
      <w:numFmt w:val="bullet"/>
      <w:lvlText w:val="●"/>
      <w:lvlJc w:val="left"/>
      <w:pPr>
        <w:tabs>
          <w:tab w:val="num" w:pos="0"/>
        </w:tabs>
        <w:ind w:left="2880" w:hanging="360"/>
      </w:pPr>
      <w:rPr>
        <w:rFonts w:ascii="Verdana" w:eastAsia="Verdana" w:hAnsi="Verdana" w:cs="Verdana"/>
        <w:b w:val="0"/>
        <w:bCs w:val="0"/>
        <w:i w:val="0"/>
        <w:iCs w:val="0"/>
        <w:strike w:val="0"/>
        <w:color w:val="000000"/>
        <w:sz w:val="20"/>
        <w:szCs w:val="20"/>
        <w:u w:val="none"/>
      </w:rPr>
    </w:lvl>
    <w:lvl w:ilvl="4" w:tplc="FFFFFFFF">
      <w:start w:val="1"/>
      <w:numFmt w:val="bullet"/>
      <w:lvlText w:val="○"/>
      <w:lvlJc w:val="left"/>
      <w:pPr>
        <w:tabs>
          <w:tab w:val="num" w:pos="0"/>
        </w:tabs>
        <w:ind w:left="3600" w:hanging="360"/>
      </w:pPr>
      <w:rPr>
        <w:rFonts w:ascii="Courier New" w:eastAsia="Courier New" w:hAnsi="Courier New" w:cs="Courier New"/>
        <w:b w:val="0"/>
        <w:bCs w:val="0"/>
        <w:i w:val="0"/>
        <w:iCs w:val="0"/>
        <w:strike w:val="0"/>
        <w:color w:val="000000"/>
        <w:sz w:val="20"/>
        <w:szCs w:val="20"/>
        <w:u w:val="none"/>
      </w:rPr>
    </w:lvl>
    <w:lvl w:ilvl="5" w:tplc="FFFFFFFF">
      <w:start w:val="1"/>
      <w:numFmt w:val="bullet"/>
      <w:lvlText w:val="■"/>
      <w:lvlJc w:val="right"/>
      <w:pPr>
        <w:tabs>
          <w:tab w:val="num" w:pos="0"/>
        </w:tabs>
        <w:ind w:left="4320" w:hanging="180"/>
      </w:pPr>
      <w:rPr>
        <w:rFonts w:ascii="Verdana" w:eastAsia="Verdana" w:hAnsi="Verdana" w:cs="Verdana"/>
        <w:b w:val="0"/>
        <w:bCs w:val="0"/>
        <w:i w:val="0"/>
        <w:iCs w:val="0"/>
        <w:strike w:val="0"/>
        <w:color w:val="000000"/>
        <w:sz w:val="20"/>
        <w:szCs w:val="20"/>
        <w:u w:val="none"/>
      </w:rPr>
    </w:lvl>
    <w:lvl w:ilvl="6" w:tplc="FFFFFFFF">
      <w:start w:val="1"/>
      <w:numFmt w:val="bullet"/>
      <w:lvlText w:val="●"/>
      <w:lvlJc w:val="left"/>
      <w:pPr>
        <w:tabs>
          <w:tab w:val="num" w:pos="0"/>
        </w:tabs>
        <w:ind w:left="5040" w:hanging="360"/>
      </w:pPr>
      <w:rPr>
        <w:rFonts w:ascii="Verdana" w:eastAsia="Verdana" w:hAnsi="Verdana" w:cs="Verdana"/>
        <w:b w:val="0"/>
        <w:bCs w:val="0"/>
        <w:i w:val="0"/>
        <w:iCs w:val="0"/>
        <w:strike w:val="0"/>
        <w:color w:val="000000"/>
        <w:sz w:val="20"/>
        <w:szCs w:val="20"/>
        <w:u w:val="none"/>
      </w:rPr>
    </w:lvl>
    <w:lvl w:ilvl="7" w:tplc="FFFFFFFF">
      <w:start w:val="1"/>
      <w:numFmt w:val="bullet"/>
      <w:lvlText w:val="○"/>
      <w:lvlJc w:val="left"/>
      <w:pPr>
        <w:tabs>
          <w:tab w:val="num" w:pos="0"/>
        </w:tabs>
        <w:ind w:left="5760" w:hanging="360"/>
      </w:pPr>
      <w:rPr>
        <w:rFonts w:ascii="Courier New" w:eastAsia="Courier New" w:hAnsi="Courier New" w:cs="Courier New"/>
        <w:b w:val="0"/>
        <w:bCs w:val="0"/>
        <w:i w:val="0"/>
        <w:iCs w:val="0"/>
        <w:strike w:val="0"/>
        <w:color w:val="000000"/>
        <w:sz w:val="20"/>
        <w:szCs w:val="20"/>
        <w:u w:val="none"/>
      </w:rPr>
    </w:lvl>
    <w:lvl w:ilvl="8" w:tplc="FFFFFFFF">
      <w:start w:val="1"/>
      <w:numFmt w:val="bullet"/>
      <w:lvlText w:val="■"/>
      <w:lvlJc w:val="right"/>
      <w:pPr>
        <w:tabs>
          <w:tab w:val="num" w:pos="0"/>
        </w:tabs>
        <w:ind w:left="6480" w:hanging="180"/>
      </w:pPr>
      <w:rPr>
        <w:rFonts w:ascii="Verdana" w:eastAsia="Verdana" w:hAnsi="Verdana" w:cs="Verdana"/>
        <w:b w:val="0"/>
        <w:bCs w:val="0"/>
        <w:i w:val="0"/>
        <w:iCs w:val="0"/>
        <w:strike w:val="0"/>
        <w:color w:val="000000"/>
        <w:sz w:val="20"/>
        <w:szCs w:val="20"/>
        <w:u w:val="none"/>
      </w:rPr>
    </w:lvl>
  </w:abstractNum>
  <w:abstractNum w:abstractNumId="1">
    <w:nsid w:val="00000003"/>
    <w:multiLevelType w:val="hybridMultilevel"/>
    <w:tmpl w:val="00000003"/>
    <w:lvl w:ilvl="0" w:tplc="FFFFFFFF">
      <w:start w:val="1"/>
      <w:numFmt w:val="bullet"/>
      <w:lvlText w:val="●"/>
      <w:lvlJc w:val="left"/>
      <w:pPr>
        <w:tabs>
          <w:tab w:val="num" w:pos="0"/>
        </w:tabs>
        <w:ind w:left="720" w:hanging="360"/>
      </w:pPr>
      <w:rPr>
        <w:rFonts w:ascii="Verdana" w:eastAsia="Verdana" w:hAnsi="Verdana" w:cs="Verdana"/>
        <w:b w:val="0"/>
        <w:bCs w:val="0"/>
        <w:i w:val="0"/>
        <w:iCs w:val="0"/>
        <w:strike w:val="0"/>
        <w:color w:val="000000"/>
        <w:sz w:val="20"/>
        <w:szCs w:val="20"/>
        <w:u w:val="none"/>
      </w:rPr>
    </w:lvl>
    <w:lvl w:ilvl="1" w:tplc="FFFFFFFF">
      <w:start w:val="1"/>
      <w:numFmt w:val="bullet"/>
      <w:lvlText w:val="○"/>
      <w:lvlJc w:val="left"/>
      <w:pPr>
        <w:tabs>
          <w:tab w:val="num" w:pos="0"/>
        </w:tabs>
        <w:ind w:left="1440" w:hanging="360"/>
      </w:pPr>
      <w:rPr>
        <w:rFonts w:ascii="Courier New" w:eastAsia="Courier New" w:hAnsi="Courier New" w:cs="Courier New"/>
        <w:b w:val="0"/>
        <w:bCs w:val="0"/>
        <w:i w:val="0"/>
        <w:iCs w:val="0"/>
        <w:strike w:val="0"/>
        <w:color w:val="000000"/>
        <w:sz w:val="20"/>
        <w:szCs w:val="20"/>
        <w:u w:val="none"/>
      </w:rPr>
    </w:lvl>
    <w:lvl w:ilvl="2" w:tplc="FFFFFFFF">
      <w:start w:val="1"/>
      <w:numFmt w:val="bullet"/>
      <w:lvlText w:val="■"/>
      <w:lvlJc w:val="right"/>
      <w:pPr>
        <w:tabs>
          <w:tab w:val="num" w:pos="0"/>
        </w:tabs>
        <w:ind w:left="2160" w:hanging="180"/>
      </w:pPr>
      <w:rPr>
        <w:rFonts w:ascii="Verdana" w:eastAsia="Verdana" w:hAnsi="Verdana" w:cs="Verdana"/>
        <w:b w:val="0"/>
        <w:bCs w:val="0"/>
        <w:i w:val="0"/>
        <w:iCs w:val="0"/>
        <w:strike w:val="0"/>
        <w:color w:val="000000"/>
        <w:sz w:val="20"/>
        <w:szCs w:val="20"/>
        <w:u w:val="none"/>
      </w:rPr>
    </w:lvl>
    <w:lvl w:ilvl="3" w:tplc="FFFFFFFF">
      <w:start w:val="1"/>
      <w:numFmt w:val="bullet"/>
      <w:lvlText w:val="●"/>
      <w:lvlJc w:val="left"/>
      <w:pPr>
        <w:tabs>
          <w:tab w:val="num" w:pos="0"/>
        </w:tabs>
        <w:ind w:left="2880" w:hanging="360"/>
      </w:pPr>
      <w:rPr>
        <w:rFonts w:ascii="Verdana" w:eastAsia="Verdana" w:hAnsi="Verdana" w:cs="Verdana"/>
        <w:b w:val="0"/>
        <w:bCs w:val="0"/>
        <w:i w:val="0"/>
        <w:iCs w:val="0"/>
        <w:strike w:val="0"/>
        <w:color w:val="000000"/>
        <w:sz w:val="20"/>
        <w:szCs w:val="20"/>
        <w:u w:val="none"/>
      </w:rPr>
    </w:lvl>
    <w:lvl w:ilvl="4" w:tplc="FFFFFFFF">
      <w:start w:val="1"/>
      <w:numFmt w:val="bullet"/>
      <w:lvlText w:val="○"/>
      <w:lvlJc w:val="left"/>
      <w:pPr>
        <w:tabs>
          <w:tab w:val="num" w:pos="0"/>
        </w:tabs>
        <w:ind w:left="3600" w:hanging="360"/>
      </w:pPr>
      <w:rPr>
        <w:rFonts w:ascii="Courier New" w:eastAsia="Courier New" w:hAnsi="Courier New" w:cs="Courier New"/>
        <w:b w:val="0"/>
        <w:bCs w:val="0"/>
        <w:i w:val="0"/>
        <w:iCs w:val="0"/>
        <w:strike w:val="0"/>
        <w:color w:val="000000"/>
        <w:sz w:val="20"/>
        <w:szCs w:val="20"/>
        <w:u w:val="none"/>
      </w:rPr>
    </w:lvl>
    <w:lvl w:ilvl="5" w:tplc="FFFFFFFF">
      <w:start w:val="1"/>
      <w:numFmt w:val="bullet"/>
      <w:lvlText w:val="■"/>
      <w:lvlJc w:val="right"/>
      <w:pPr>
        <w:tabs>
          <w:tab w:val="num" w:pos="0"/>
        </w:tabs>
        <w:ind w:left="4320" w:hanging="180"/>
      </w:pPr>
      <w:rPr>
        <w:rFonts w:ascii="Verdana" w:eastAsia="Verdana" w:hAnsi="Verdana" w:cs="Verdana"/>
        <w:b w:val="0"/>
        <w:bCs w:val="0"/>
        <w:i w:val="0"/>
        <w:iCs w:val="0"/>
        <w:strike w:val="0"/>
        <w:color w:val="000000"/>
        <w:sz w:val="20"/>
        <w:szCs w:val="20"/>
        <w:u w:val="none"/>
      </w:rPr>
    </w:lvl>
    <w:lvl w:ilvl="6" w:tplc="FFFFFFFF">
      <w:start w:val="1"/>
      <w:numFmt w:val="bullet"/>
      <w:lvlText w:val="●"/>
      <w:lvlJc w:val="left"/>
      <w:pPr>
        <w:tabs>
          <w:tab w:val="num" w:pos="0"/>
        </w:tabs>
        <w:ind w:left="5040" w:hanging="360"/>
      </w:pPr>
      <w:rPr>
        <w:rFonts w:ascii="Verdana" w:eastAsia="Verdana" w:hAnsi="Verdana" w:cs="Verdana"/>
        <w:b w:val="0"/>
        <w:bCs w:val="0"/>
        <w:i w:val="0"/>
        <w:iCs w:val="0"/>
        <w:strike w:val="0"/>
        <w:color w:val="000000"/>
        <w:sz w:val="20"/>
        <w:szCs w:val="20"/>
        <w:u w:val="none"/>
      </w:rPr>
    </w:lvl>
    <w:lvl w:ilvl="7" w:tplc="FFFFFFFF">
      <w:start w:val="1"/>
      <w:numFmt w:val="bullet"/>
      <w:lvlText w:val="○"/>
      <w:lvlJc w:val="left"/>
      <w:pPr>
        <w:tabs>
          <w:tab w:val="num" w:pos="0"/>
        </w:tabs>
        <w:ind w:left="5760" w:hanging="360"/>
      </w:pPr>
      <w:rPr>
        <w:rFonts w:ascii="Courier New" w:eastAsia="Courier New" w:hAnsi="Courier New" w:cs="Courier New"/>
        <w:b w:val="0"/>
        <w:bCs w:val="0"/>
        <w:i w:val="0"/>
        <w:iCs w:val="0"/>
        <w:strike w:val="0"/>
        <w:color w:val="000000"/>
        <w:sz w:val="20"/>
        <w:szCs w:val="20"/>
        <w:u w:val="none"/>
      </w:rPr>
    </w:lvl>
    <w:lvl w:ilvl="8" w:tplc="FFFFFFFF">
      <w:start w:val="1"/>
      <w:numFmt w:val="bullet"/>
      <w:lvlText w:val="■"/>
      <w:lvlJc w:val="right"/>
      <w:pPr>
        <w:tabs>
          <w:tab w:val="num" w:pos="0"/>
        </w:tabs>
        <w:ind w:left="6480" w:hanging="180"/>
      </w:pPr>
      <w:rPr>
        <w:rFonts w:ascii="Verdana" w:eastAsia="Verdana" w:hAnsi="Verdana" w:cs="Verdana"/>
        <w:b w:val="0"/>
        <w:bCs w:val="0"/>
        <w:i w:val="0"/>
        <w:iCs w:val="0"/>
        <w:strike w:val="0"/>
        <w:color w:val="000000"/>
        <w:sz w:val="20"/>
        <w:szCs w:val="20"/>
        <w:u w:val="none"/>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9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1D2A"/>
    <w:rsid w:val="000030DC"/>
    <w:rsid w:val="00007363"/>
    <w:rsid w:val="00043F5F"/>
    <w:rsid w:val="000A3405"/>
    <w:rsid w:val="000C4256"/>
    <w:rsid w:val="000D0400"/>
    <w:rsid w:val="000D2F3E"/>
    <w:rsid w:val="000D3488"/>
    <w:rsid w:val="000E250F"/>
    <w:rsid w:val="00117DD5"/>
    <w:rsid w:val="00121E81"/>
    <w:rsid w:val="00167566"/>
    <w:rsid w:val="00167CC4"/>
    <w:rsid w:val="00170E78"/>
    <w:rsid w:val="001902A6"/>
    <w:rsid w:val="00195A8B"/>
    <w:rsid w:val="001C345C"/>
    <w:rsid w:val="001D2BAB"/>
    <w:rsid w:val="001F0B6B"/>
    <w:rsid w:val="00234C33"/>
    <w:rsid w:val="00263D91"/>
    <w:rsid w:val="00277291"/>
    <w:rsid w:val="002C6BD1"/>
    <w:rsid w:val="003348FE"/>
    <w:rsid w:val="00350B23"/>
    <w:rsid w:val="00376334"/>
    <w:rsid w:val="003A1BAF"/>
    <w:rsid w:val="003E1281"/>
    <w:rsid w:val="003F66E3"/>
    <w:rsid w:val="004473F9"/>
    <w:rsid w:val="00484659"/>
    <w:rsid w:val="004A4776"/>
    <w:rsid w:val="004A4C9B"/>
    <w:rsid w:val="004F7F04"/>
    <w:rsid w:val="00501DC4"/>
    <w:rsid w:val="00505839"/>
    <w:rsid w:val="005254BB"/>
    <w:rsid w:val="0056737E"/>
    <w:rsid w:val="00571E10"/>
    <w:rsid w:val="00581E70"/>
    <w:rsid w:val="0059132D"/>
    <w:rsid w:val="005A20D2"/>
    <w:rsid w:val="005A4169"/>
    <w:rsid w:val="005A4B75"/>
    <w:rsid w:val="005A7085"/>
    <w:rsid w:val="005E1E80"/>
    <w:rsid w:val="005E39EC"/>
    <w:rsid w:val="005E6D42"/>
    <w:rsid w:val="00607F61"/>
    <w:rsid w:val="00647AC3"/>
    <w:rsid w:val="00676F5E"/>
    <w:rsid w:val="006A05B1"/>
    <w:rsid w:val="006C0128"/>
    <w:rsid w:val="0073670A"/>
    <w:rsid w:val="00740BBF"/>
    <w:rsid w:val="00782901"/>
    <w:rsid w:val="007B462E"/>
    <w:rsid w:val="007C2385"/>
    <w:rsid w:val="007E6E67"/>
    <w:rsid w:val="007F19F5"/>
    <w:rsid w:val="007F38EB"/>
    <w:rsid w:val="0082053F"/>
    <w:rsid w:val="00833D5A"/>
    <w:rsid w:val="00834E91"/>
    <w:rsid w:val="0084523B"/>
    <w:rsid w:val="008514CF"/>
    <w:rsid w:val="008802BC"/>
    <w:rsid w:val="008C3687"/>
    <w:rsid w:val="00904BD6"/>
    <w:rsid w:val="00935A0F"/>
    <w:rsid w:val="00955227"/>
    <w:rsid w:val="0095631C"/>
    <w:rsid w:val="00962632"/>
    <w:rsid w:val="00972574"/>
    <w:rsid w:val="00991222"/>
    <w:rsid w:val="00996004"/>
    <w:rsid w:val="009D5F8A"/>
    <w:rsid w:val="009E324E"/>
    <w:rsid w:val="009F7798"/>
    <w:rsid w:val="00A35B5F"/>
    <w:rsid w:val="00A41327"/>
    <w:rsid w:val="00A67231"/>
    <w:rsid w:val="00A75AAB"/>
    <w:rsid w:val="00A95D1C"/>
    <w:rsid w:val="00AD2C20"/>
    <w:rsid w:val="00AE329F"/>
    <w:rsid w:val="00AE7066"/>
    <w:rsid w:val="00AF43BC"/>
    <w:rsid w:val="00B62504"/>
    <w:rsid w:val="00B722E4"/>
    <w:rsid w:val="00BB1D2A"/>
    <w:rsid w:val="00BC570D"/>
    <w:rsid w:val="00C008C6"/>
    <w:rsid w:val="00C24FAF"/>
    <w:rsid w:val="00C57EF9"/>
    <w:rsid w:val="00C6121E"/>
    <w:rsid w:val="00C817A3"/>
    <w:rsid w:val="00CE0FC4"/>
    <w:rsid w:val="00CF2962"/>
    <w:rsid w:val="00CF2CF1"/>
    <w:rsid w:val="00D1118F"/>
    <w:rsid w:val="00D37C8F"/>
    <w:rsid w:val="00D570C0"/>
    <w:rsid w:val="00D62BF6"/>
    <w:rsid w:val="00D721AF"/>
    <w:rsid w:val="00DA601A"/>
    <w:rsid w:val="00DB31ED"/>
    <w:rsid w:val="00DB4B2A"/>
    <w:rsid w:val="00DF0B01"/>
    <w:rsid w:val="00DF53D6"/>
    <w:rsid w:val="00E12086"/>
    <w:rsid w:val="00E3614E"/>
    <w:rsid w:val="00E939F0"/>
    <w:rsid w:val="00EA6682"/>
    <w:rsid w:val="00F34B08"/>
    <w:rsid w:val="00F64D59"/>
    <w:rsid w:val="00F72192"/>
    <w:rsid w:val="00F8411F"/>
    <w:rsid w:val="00F9561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7149B2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qFormat/>
    <w:rsid w:val="00676F5E"/>
    <w:pPr>
      <w:keepNext/>
      <w:widowControl w:val="0"/>
      <w:spacing w:after="0" w:line="240" w:lineRule="auto"/>
      <w:jc w:val="center"/>
      <w:outlineLvl w:val="1"/>
    </w:pPr>
    <w:rPr>
      <w:rFonts w:ascii="Times New Roman" w:eastAsia="Times New Roman" w:hAnsi="Times New Roman" w:cs="Times New Roman"/>
      <w:b/>
      <w:snapToGrid w:val="0"/>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link w:val="EndnoteTextChar"/>
    <w:uiPriority w:val="99"/>
    <w:semiHidden/>
    <w:unhideWhenUsed/>
    <w:rsid w:val="000D040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0D0400"/>
    <w:rPr>
      <w:sz w:val="20"/>
      <w:szCs w:val="20"/>
    </w:rPr>
  </w:style>
  <w:style w:type="character" w:styleId="EndnoteReference">
    <w:name w:val="endnote reference"/>
    <w:basedOn w:val="DefaultParagraphFont"/>
    <w:uiPriority w:val="99"/>
    <w:semiHidden/>
    <w:unhideWhenUsed/>
    <w:rsid w:val="000D0400"/>
    <w:rPr>
      <w:vertAlign w:val="superscript"/>
    </w:rPr>
  </w:style>
  <w:style w:type="character" w:styleId="Hyperlink">
    <w:name w:val="Hyperlink"/>
    <w:basedOn w:val="DefaultParagraphFont"/>
    <w:uiPriority w:val="99"/>
    <w:semiHidden/>
    <w:unhideWhenUsed/>
    <w:rsid w:val="00C24FAF"/>
    <w:rPr>
      <w:color w:val="0000FF"/>
      <w:u w:val="single"/>
    </w:rPr>
  </w:style>
  <w:style w:type="paragraph" w:styleId="FootnoteText">
    <w:name w:val="footnote text"/>
    <w:basedOn w:val="Normal"/>
    <w:link w:val="FootnoteTextChar"/>
    <w:uiPriority w:val="99"/>
    <w:semiHidden/>
    <w:unhideWhenUsed/>
    <w:rsid w:val="00996004"/>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996004"/>
    <w:rPr>
      <w:sz w:val="20"/>
      <w:szCs w:val="20"/>
    </w:rPr>
  </w:style>
  <w:style w:type="character" w:styleId="FootnoteReference">
    <w:name w:val="footnote reference"/>
    <w:basedOn w:val="DefaultParagraphFont"/>
    <w:uiPriority w:val="99"/>
    <w:semiHidden/>
    <w:unhideWhenUsed/>
    <w:rsid w:val="00996004"/>
    <w:rPr>
      <w:vertAlign w:val="superscript"/>
    </w:rPr>
  </w:style>
  <w:style w:type="character" w:customStyle="1" w:styleId="Heading2Char">
    <w:name w:val="Heading 2 Char"/>
    <w:basedOn w:val="DefaultParagraphFont"/>
    <w:link w:val="Heading2"/>
    <w:rsid w:val="00676F5E"/>
    <w:rPr>
      <w:rFonts w:ascii="Times New Roman" w:eastAsia="Times New Roman" w:hAnsi="Times New Roman" w:cs="Times New Roman"/>
      <w:b/>
      <w:snapToGrid w:val="0"/>
      <w:sz w:val="24"/>
      <w:szCs w:val="20"/>
    </w:rPr>
  </w:style>
  <w:style w:type="paragraph" w:styleId="BodyText">
    <w:name w:val="Body Text"/>
    <w:basedOn w:val="Normal"/>
    <w:link w:val="BodyTextChar"/>
    <w:rsid w:val="00676F5E"/>
    <w:pPr>
      <w:widowControl w:val="0"/>
      <w:spacing w:after="0" w:line="240" w:lineRule="auto"/>
      <w:jc w:val="both"/>
    </w:pPr>
    <w:rPr>
      <w:rFonts w:ascii="Times New Roman" w:eastAsia="Times New Roman" w:hAnsi="Times New Roman" w:cs="Times New Roman"/>
      <w:snapToGrid w:val="0"/>
      <w:sz w:val="24"/>
      <w:szCs w:val="20"/>
    </w:rPr>
  </w:style>
  <w:style w:type="character" w:customStyle="1" w:styleId="BodyTextChar">
    <w:name w:val="Body Text Char"/>
    <w:basedOn w:val="DefaultParagraphFont"/>
    <w:link w:val="BodyText"/>
    <w:rsid w:val="00676F5E"/>
    <w:rPr>
      <w:rFonts w:ascii="Times New Roman" w:eastAsia="Times New Roman" w:hAnsi="Times New Roman" w:cs="Times New Roman"/>
      <w:snapToGrid w:val="0"/>
      <w:sz w:val="24"/>
      <w:szCs w:val="20"/>
    </w:rPr>
  </w:style>
  <w:style w:type="character" w:styleId="CommentReference">
    <w:name w:val="annotation reference"/>
    <w:basedOn w:val="DefaultParagraphFont"/>
    <w:rsid w:val="00581E70"/>
    <w:rPr>
      <w:sz w:val="16"/>
      <w:szCs w:val="16"/>
    </w:rPr>
  </w:style>
  <w:style w:type="paragraph" w:styleId="BalloonText">
    <w:name w:val="Balloon Text"/>
    <w:basedOn w:val="Normal"/>
    <w:link w:val="BalloonTextChar"/>
    <w:uiPriority w:val="99"/>
    <w:semiHidden/>
    <w:unhideWhenUsed/>
    <w:rsid w:val="00581E7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81E70"/>
    <w:rPr>
      <w:rFonts w:ascii="Tahoma" w:hAnsi="Tahoma" w:cs="Tahoma"/>
      <w:sz w:val="16"/>
      <w:szCs w:val="16"/>
    </w:rPr>
  </w:style>
  <w:style w:type="paragraph" w:styleId="Header">
    <w:name w:val="header"/>
    <w:basedOn w:val="Normal"/>
    <w:link w:val="HeaderChar"/>
    <w:uiPriority w:val="99"/>
    <w:unhideWhenUsed/>
    <w:rsid w:val="00DB4B2A"/>
    <w:pPr>
      <w:tabs>
        <w:tab w:val="center" w:pos="4680"/>
        <w:tab w:val="right" w:pos="9360"/>
      </w:tabs>
      <w:spacing w:after="0" w:line="240" w:lineRule="auto"/>
    </w:pPr>
  </w:style>
  <w:style w:type="character" w:customStyle="1" w:styleId="HeaderChar">
    <w:name w:val="Header Char"/>
    <w:basedOn w:val="DefaultParagraphFont"/>
    <w:link w:val="Header"/>
    <w:uiPriority w:val="99"/>
    <w:rsid w:val="00DB4B2A"/>
  </w:style>
  <w:style w:type="paragraph" w:styleId="Footer">
    <w:name w:val="footer"/>
    <w:basedOn w:val="Normal"/>
    <w:link w:val="FooterChar"/>
    <w:uiPriority w:val="99"/>
    <w:unhideWhenUsed/>
    <w:rsid w:val="00DB4B2A"/>
    <w:pPr>
      <w:tabs>
        <w:tab w:val="center" w:pos="4680"/>
        <w:tab w:val="right" w:pos="9360"/>
      </w:tabs>
      <w:spacing w:after="0" w:line="240" w:lineRule="auto"/>
    </w:pPr>
  </w:style>
  <w:style w:type="character" w:customStyle="1" w:styleId="FooterChar">
    <w:name w:val="Footer Char"/>
    <w:basedOn w:val="DefaultParagraphFont"/>
    <w:link w:val="Footer"/>
    <w:uiPriority w:val="99"/>
    <w:rsid w:val="00DB4B2A"/>
  </w:style>
  <w:style w:type="paragraph" w:styleId="NoSpacing">
    <w:name w:val="No Spacing"/>
    <w:uiPriority w:val="1"/>
    <w:qFormat/>
    <w:rsid w:val="00571E10"/>
    <w:pPr>
      <w:spacing w:after="0" w:line="240" w:lineRule="auto"/>
    </w:pPr>
  </w:style>
  <w:style w:type="paragraph" w:styleId="NormalWeb">
    <w:name w:val="Normal (Web)"/>
    <w:basedOn w:val="Normal"/>
    <w:uiPriority w:val="99"/>
    <w:unhideWhenUsed/>
    <w:rsid w:val="00C008C6"/>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AE7066"/>
    <w:rPr>
      <w:b/>
      <w:bCs/>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qFormat/>
    <w:rsid w:val="00676F5E"/>
    <w:pPr>
      <w:keepNext/>
      <w:widowControl w:val="0"/>
      <w:spacing w:after="0" w:line="240" w:lineRule="auto"/>
      <w:jc w:val="center"/>
      <w:outlineLvl w:val="1"/>
    </w:pPr>
    <w:rPr>
      <w:rFonts w:ascii="Times New Roman" w:eastAsia="Times New Roman" w:hAnsi="Times New Roman" w:cs="Times New Roman"/>
      <w:b/>
      <w:snapToGrid w:val="0"/>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link w:val="EndnoteTextChar"/>
    <w:uiPriority w:val="99"/>
    <w:semiHidden/>
    <w:unhideWhenUsed/>
    <w:rsid w:val="000D040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0D0400"/>
    <w:rPr>
      <w:sz w:val="20"/>
      <w:szCs w:val="20"/>
    </w:rPr>
  </w:style>
  <w:style w:type="character" w:styleId="EndnoteReference">
    <w:name w:val="endnote reference"/>
    <w:basedOn w:val="DefaultParagraphFont"/>
    <w:uiPriority w:val="99"/>
    <w:semiHidden/>
    <w:unhideWhenUsed/>
    <w:rsid w:val="000D0400"/>
    <w:rPr>
      <w:vertAlign w:val="superscript"/>
    </w:rPr>
  </w:style>
  <w:style w:type="character" w:styleId="Hyperlink">
    <w:name w:val="Hyperlink"/>
    <w:basedOn w:val="DefaultParagraphFont"/>
    <w:uiPriority w:val="99"/>
    <w:semiHidden/>
    <w:unhideWhenUsed/>
    <w:rsid w:val="00C24FAF"/>
    <w:rPr>
      <w:color w:val="0000FF"/>
      <w:u w:val="single"/>
    </w:rPr>
  </w:style>
  <w:style w:type="paragraph" w:styleId="FootnoteText">
    <w:name w:val="footnote text"/>
    <w:basedOn w:val="Normal"/>
    <w:link w:val="FootnoteTextChar"/>
    <w:uiPriority w:val="99"/>
    <w:semiHidden/>
    <w:unhideWhenUsed/>
    <w:rsid w:val="00996004"/>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996004"/>
    <w:rPr>
      <w:sz w:val="20"/>
      <w:szCs w:val="20"/>
    </w:rPr>
  </w:style>
  <w:style w:type="character" w:styleId="FootnoteReference">
    <w:name w:val="footnote reference"/>
    <w:basedOn w:val="DefaultParagraphFont"/>
    <w:uiPriority w:val="99"/>
    <w:semiHidden/>
    <w:unhideWhenUsed/>
    <w:rsid w:val="00996004"/>
    <w:rPr>
      <w:vertAlign w:val="superscript"/>
    </w:rPr>
  </w:style>
  <w:style w:type="character" w:customStyle="1" w:styleId="Heading2Char">
    <w:name w:val="Heading 2 Char"/>
    <w:basedOn w:val="DefaultParagraphFont"/>
    <w:link w:val="Heading2"/>
    <w:rsid w:val="00676F5E"/>
    <w:rPr>
      <w:rFonts w:ascii="Times New Roman" w:eastAsia="Times New Roman" w:hAnsi="Times New Roman" w:cs="Times New Roman"/>
      <w:b/>
      <w:snapToGrid w:val="0"/>
      <w:sz w:val="24"/>
      <w:szCs w:val="20"/>
    </w:rPr>
  </w:style>
  <w:style w:type="paragraph" w:styleId="BodyText">
    <w:name w:val="Body Text"/>
    <w:basedOn w:val="Normal"/>
    <w:link w:val="BodyTextChar"/>
    <w:rsid w:val="00676F5E"/>
    <w:pPr>
      <w:widowControl w:val="0"/>
      <w:spacing w:after="0" w:line="240" w:lineRule="auto"/>
      <w:jc w:val="both"/>
    </w:pPr>
    <w:rPr>
      <w:rFonts w:ascii="Times New Roman" w:eastAsia="Times New Roman" w:hAnsi="Times New Roman" w:cs="Times New Roman"/>
      <w:snapToGrid w:val="0"/>
      <w:sz w:val="24"/>
      <w:szCs w:val="20"/>
    </w:rPr>
  </w:style>
  <w:style w:type="character" w:customStyle="1" w:styleId="BodyTextChar">
    <w:name w:val="Body Text Char"/>
    <w:basedOn w:val="DefaultParagraphFont"/>
    <w:link w:val="BodyText"/>
    <w:rsid w:val="00676F5E"/>
    <w:rPr>
      <w:rFonts w:ascii="Times New Roman" w:eastAsia="Times New Roman" w:hAnsi="Times New Roman" w:cs="Times New Roman"/>
      <w:snapToGrid w:val="0"/>
      <w:sz w:val="24"/>
      <w:szCs w:val="20"/>
    </w:rPr>
  </w:style>
  <w:style w:type="character" w:styleId="CommentReference">
    <w:name w:val="annotation reference"/>
    <w:basedOn w:val="DefaultParagraphFont"/>
    <w:rsid w:val="00581E70"/>
    <w:rPr>
      <w:sz w:val="16"/>
      <w:szCs w:val="16"/>
    </w:rPr>
  </w:style>
  <w:style w:type="paragraph" w:styleId="BalloonText">
    <w:name w:val="Balloon Text"/>
    <w:basedOn w:val="Normal"/>
    <w:link w:val="BalloonTextChar"/>
    <w:uiPriority w:val="99"/>
    <w:semiHidden/>
    <w:unhideWhenUsed/>
    <w:rsid w:val="00581E7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81E70"/>
    <w:rPr>
      <w:rFonts w:ascii="Tahoma" w:hAnsi="Tahoma" w:cs="Tahoma"/>
      <w:sz w:val="16"/>
      <w:szCs w:val="16"/>
    </w:rPr>
  </w:style>
  <w:style w:type="paragraph" w:styleId="Header">
    <w:name w:val="header"/>
    <w:basedOn w:val="Normal"/>
    <w:link w:val="HeaderChar"/>
    <w:uiPriority w:val="99"/>
    <w:unhideWhenUsed/>
    <w:rsid w:val="00DB4B2A"/>
    <w:pPr>
      <w:tabs>
        <w:tab w:val="center" w:pos="4680"/>
        <w:tab w:val="right" w:pos="9360"/>
      </w:tabs>
      <w:spacing w:after="0" w:line="240" w:lineRule="auto"/>
    </w:pPr>
  </w:style>
  <w:style w:type="character" w:customStyle="1" w:styleId="HeaderChar">
    <w:name w:val="Header Char"/>
    <w:basedOn w:val="DefaultParagraphFont"/>
    <w:link w:val="Header"/>
    <w:uiPriority w:val="99"/>
    <w:rsid w:val="00DB4B2A"/>
  </w:style>
  <w:style w:type="paragraph" w:styleId="Footer">
    <w:name w:val="footer"/>
    <w:basedOn w:val="Normal"/>
    <w:link w:val="FooterChar"/>
    <w:uiPriority w:val="99"/>
    <w:unhideWhenUsed/>
    <w:rsid w:val="00DB4B2A"/>
    <w:pPr>
      <w:tabs>
        <w:tab w:val="center" w:pos="4680"/>
        <w:tab w:val="right" w:pos="9360"/>
      </w:tabs>
      <w:spacing w:after="0" w:line="240" w:lineRule="auto"/>
    </w:pPr>
  </w:style>
  <w:style w:type="character" w:customStyle="1" w:styleId="FooterChar">
    <w:name w:val="Footer Char"/>
    <w:basedOn w:val="DefaultParagraphFont"/>
    <w:link w:val="Footer"/>
    <w:uiPriority w:val="99"/>
    <w:rsid w:val="00DB4B2A"/>
  </w:style>
  <w:style w:type="paragraph" w:styleId="NoSpacing">
    <w:name w:val="No Spacing"/>
    <w:uiPriority w:val="1"/>
    <w:qFormat/>
    <w:rsid w:val="00571E10"/>
    <w:pPr>
      <w:spacing w:after="0" w:line="240" w:lineRule="auto"/>
    </w:pPr>
  </w:style>
  <w:style w:type="paragraph" w:styleId="NormalWeb">
    <w:name w:val="Normal (Web)"/>
    <w:basedOn w:val="Normal"/>
    <w:uiPriority w:val="99"/>
    <w:unhideWhenUsed/>
    <w:rsid w:val="00C008C6"/>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AE706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2546097">
      <w:bodyDiv w:val="1"/>
      <w:marLeft w:val="0"/>
      <w:marRight w:val="0"/>
      <w:marTop w:val="0"/>
      <w:marBottom w:val="0"/>
      <w:divBdr>
        <w:top w:val="none" w:sz="0" w:space="0" w:color="auto"/>
        <w:left w:val="none" w:sz="0" w:space="0" w:color="auto"/>
        <w:bottom w:val="none" w:sz="0" w:space="0" w:color="auto"/>
        <w:right w:val="none" w:sz="0" w:space="0" w:color="auto"/>
      </w:divBdr>
      <w:divsChild>
        <w:div w:id="430662306">
          <w:marLeft w:val="0"/>
          <w:marRight w:val="0"/>
          <w:marTop w:val="0"/>
          <w:marBottom w:val="0"/>
          <w:divBdr>
            <w:top w:val="none" w:sz="0" w:space="0" w:color="auto"/>
            <w:left w:val="none" w:sz="0" w:space="0" w:color="auto"/>
            <w:bottom w:val="none" w:sz="0" w:space="0" w:color="auto"/>
            <w:right w:val="none" w:sz="0" w:space="0" w:color="auto"/>
          </w:divBdr>
          <w:divsChild>
            <w:div w:id="1686783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3953931">
      <w:bodyDiv w:val="1"/>
      <w:marLeft w:val="0"/>
      <w:marRight w:val="0"/>
      <w:marTop w:val="0"/>
      <w:marBottom w:val="0"/>
      <w:divBdr>
        <w:top w:val="none" w:sz="0" w:space="0" w:color="auto"/>
        <w:left w:val="none" w:sz="0" w:space="0" w:color="auto"/>
        <w:bottom w:val="none" w:sz="0" w:space="0" w:color="auto"/>
        <w:right w:val="none" w:sz="0" w:space="0" w:color="auto"/>
      </w:divBdr>
    </w:div>
    <w:div w:id="807093040">
      <w:bodyDiv w:val="1"/>
      <w:marLeft w:val="0"/>
      <w:marRight w:val="0"/>
      <w:marTop w:val="0"/>
      <w:marBottom w:val="0"/>
      <w:divBdr>
        <w:top w:val="none" w:sz="0" w:space="0" w:color="auto"/>
        <w:left w:val="none" w:sz="0" w:space="0" w:color="auto"/>
        <w:bottom w:val="none" w:sz="0" w:space="0" w:color="auto"/>
        <w:right w:val="none" w:sz="0" w:space="0" w:color="auto"/>
      </w:divBdr>
    </w:div>
    <w:div w:id="1148472881">
      <w:bodyDiv w:val="1"/>
      <w:marLeft w:val="0"/>
      <w:marRight w:val="0"/>
      <w:marTop w:val="0"/>
      <w:marBottom w:val="0"/>
      <w:divBdr>
        <w:top w:val="none" w:sz="0" w:space="0" w:color="auto"/>
        <w:left w:val="none" w:sz="0" w:space="0" w:color="auto"/>
        <w:bottom w:val="none" w:sz="0" w:space="0" w:color="auto"/>
        <w:right w:val="none" w:sz="0" w:space="0" w:color="auto"/>
      </w:divBdr>
      <w:divsChild>
        <w:div w:id="252520311">
          <w:marLeft w:val="0"/>
          <w:marRight w:val="0"/>
          <w:marTop w:val="0"/>
          <w:marBottom w:val="0"/>
          <w:divBdr>
            <w:top w:val="none" w:sz="0" w:space="0" w:color="auto"/>
            <w:left w:val="none" w:sz="0" w:space="0" w:color="auto"/>
            <w:bottom w:val="none" w:sz="0" w:space="0" w:color="auto"/>
            <w:right w:val="none" w:sz="0" w:space="0" w:color="auto"/>
          </w:divBdr>
        </w:div>
        <w:div w:id="60637320">
          <w:marLeft w:val="180"/>
          <w:marRight w:val="0"/>
          <w:marTop w:val="0"/>
          <w:marBottom w:val="0"/>
          <w:divBdr>
            <w:top w:val="none" w:sz="0" w:space="0" w:color="auto"/>
            <w:left w:val="none" w:sz="0" w:space="0" w:color="auto"/>
            <w:bottom w:val="none" w:sz="0" w:space="0" w:color="auto"/>
            <w:right w:val="none" w:sz="0" w:space="0" w:color="auto"/>
          </w:divBdr>
        </w:div>
      </w:divsChild>
    </w:div>
    <w:div w:id="2027830585">
      <w:bodyDiv w:val="1"/>
      <w:marLeft w:val="0"/>
      <w:marRight w:val="0"/>
      <w:marTop w:val="0"/>
      <w:marBottom w:val="0"/>
      <w:divBdr>
        <w:top w:val="none" w:sz="0" w:space="0" w:color="auto"/>
        <w:left w:val="none" w:sz="0" w:space="0" w:color="auto"/>
        <w:bottom w:val="none" w:sz="0" w:space="0" w:color="auto"/>
        <w:right w:val="none" w:sz="0" w:space="0" w:color="auto"/>
      </w:divBdr>
      <w:divsChild>
        <w:div w:id="1615744094">
          <w:marLeft w:val="180"/>
          <w:marRight w:val="0"/>
          <w:marTop w:val="0"/>
          <w:marBottom w:val="0"/>
          <w:divBdr>
            <w:top w:val="none" w:sz="0" w:space="0" w:color="auto"/>
            <w:left w:val="none" w:sz="0" w:space="0" w:color="auto"/>
            <w:bottom w:val="none" w:sz="0" w:space="0" w:color="auto"/>
            <w:right w:val="none" w:sz="0" w:space="0" w:color="auto"/>
          </w:divBdr>
        </w:div>
        <w:div w:id="1134828606">
          <w:marLeft w:val="36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footer" Target="footer1.xml"/><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1071EC-D40B-2845-9F72-FA07D3FA51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13</Pages>
  <Words>3868</Words>
  <Characters>20693</Characters>
  <Application>Microsoft Macintosh Word</Application>
  <DocSecurity>0</DocSecurity>
  <Lines>328</Lines>
  <Paragraphs>69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24524</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Brian Larson</cp:lastModifiedBy>
  <cp:revision>3</cp:revision>
  <cp:lastPrinted>2012-03-21T12:36:00Z</cp:lastPrinted>
  <dcterms:created xsi:type="dcterms:W3CDTF">2012-04-11T01:55:00Z</dcterms:created>
  <dcterms:modified xsi:type="dcterms:W3CDTF">2012-06-01T21:06:00Z</dcterms:modified>
  <cp:category/>
</cp:coreProperties>
</file>